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42F4E">
      <w:pPr>
        <w:spacing w:line="360" w:lineRule="auto"/>
        <w:jc w:val="center"/>
        <w:rPr>
          <w:rFonts w:ascii="Times New Roman" w:hAnsi="Times New Roman"/>
          <w:b/>
          <w:bCs/>
          <w:color w:val="000000"/>
          <w:kern w:val="0"/>
          <w:sz w:val="44"/>
        </w:rPr>
      </w:pPr>
    </w:p>
    <w:p w14:paraId="4827A198">
      <w:pPr>
        <w:spacing w:line="360" w:lineRule="auto"/>
        <w:jc w:val="center"/>
        <w:rPr>
          <w:rFonts w:ascii="Times New Roman" w:hAnsi="Times New Roman"/>
          <w:b/>
          <w:bCs/>
          <w:color w:val="000000"/>
          <w:kern w:val="0"/>
          <w:sz w:val="44"/>
        </w:rPr>
      </w:pPr>
    </w:p>
    <w:p w14:paraId="336F3164">
      <w:pPr>
        <w:spacing w:line="360" w:lineRule="auto"/>
        <w:jc w:val="center"/>
        <w:rPr>
          <w:rFonts w:ascii="Times New Roman" w:hAnsi="Times New Roman"/>
          <w:b/>
          <w:bCs/>
          <w:color w:val="000000"/>
          <w:kern w:val="0"/>
          <w:sz w:val="44"/>
        </w:rPr>
      </w:pPr>
      <w:r>
        <w:rPr>
          <w:rFonts w:ascii="Times New Roman"/>
          <w:b/>
          <w:bCs/>
          <w:color w:val="000000"/>
          <w:kern w:val="0"/>
          <w:sz w:val="44"/>
        </w:rPr>
        <w:t>《</w:t>
      </w:r>
      <w:r>
        <w:rPr>
          <w:rFonts w:hint="eastAsia" w:ascii="Times New Roman"/>
          <w:b/>
          <w:bCs/>
          <w:color w:val="000000"/>
          <w:kern w:val="0"/>
          <w:sz w:val="44"/>
        </w:rPr>
        <w:t>空气净化材料气味净化性能感官评价方法</w:t>
      </w:r>
      <w:r>
        <w:rPr>
          <w:rFonts w:ascii="Times New Roman"/>
          <w:b/>
          <w:bCs/>
          <w:color w:val="000000"/>
          <w:kern w:val="0"/>
          <w:sz w:val="44"/>
        </w:rPr>
        <w:t>》</w:t>
      </w:r>
    </w:p>
    <w:p w14:paraId="4BC695C1">
      <w:pPr>
        <w:spacing w:line="360" w:lineRule="auto"/>
        <w:jc w:val="center"/>
        <w:rPr>
          <w:rFonts w:ascii="Times New Roman" w:hAnsi="Times New Roman"/>
          <w:b/>
          <w:bCs/>
          <w:color w:val="000000"/>
          <w:kern w:val="0"/>
          <w:sz w:val="44"/>
        </w:rPr>
      </w:pPr>
    </w:p>
    <w:p w14:paraId="1C6BF172">
      <w:pPr>
        <w:spacing w:line="360" w:lineRule="auto"/>
        <w:jc w:val="center"/>
        <w:rPr>
          <w:rFonts w:ascii="Times New Roman" w:hAnsi="Times New Roman"/>
          <w:b/>
          <w:bCs/>
          <w:color w:val="000000"/>
          <w:kern w:val="0"/>
          <w:sz w:val="44"/>
        </w:rPr>
      </w:pPr>
      <w:r>
        <w:rPr>
          <w:rFonts w:ascii="Times New Roman"/>
          <w:b/>
          <w:bCs/>
          <w:color w:val="000000"/>
          <w:kern w:val="0"/>
          <w:sz w:val="44"/>
        </w:rPr>
        <w:t>编制说明</w:t>
      </w:r>
    </w:p>
    <w:p w14:paraId="741A5E34">
      <w:pPr>
        <w:spacing w:line="360" w:lineRule="auto"/>
        <w:jc w:val="center"/>
        <w:rPr>
          <w:rFonts w:ascii="Times New Roman" w:hAnsi="Times New Roman"/>
          <w:b/>
          <w:bCs/>
          <w:color w:val="000000"/>
          <w:kern w:val="0"/>
          <w:sz w:val="44"/>
        </w:rPr>
      </w:pPr>
    </w:p>
    <w:p w14:paraId="329CEF25">
      <w:pPr>
        <w:spacing w:line="360" w:lineRule="auto"/>
        <w:jc w:val="center"/>
        <w:rPr>
          <w:rFonts w:ascii="Times New Roman" w:hAnsi="Times New Roman"/>
          <w:sz w:val="30"/>
          <w:szCs w:val="30"/>
        </w:rPr>
      </w:pPr>
      <w:r>
        <w:rPr>
          <w:rFonts w:ascii="Times New Roman"/>
          <w:sz w:val="30"/>
          <w:szCs w:val="30"/>
        </w:rPr>
        <w:t>（</w:t>
      </w:r>
      <w:r>
        <w:rPr>
          <w:rFonts w:hint="eastAsia" w:ascii="Times New Roman"/>
          <w:sz w:val="30"/>
          <w:szCs w:val="30"/>
          <w:lang w:val="en-US" w:eastAsia="zh-CN"/>
        </w:rPr>
        <w:t>征求意见</w:t>
      </w:r>
      <w:r>
        <w:rPr>
          <w:rFonts w:hint="eastAsia" w:ascii="Times New Roman"/>
          <w:sz w:val="30"/>
          <w:szCs w:val="30"/>
        </w:rPr>
        <w:t>稿</w:t>
      </w:r>
      <w:r>
        <w:rPr>
          <w:rFonts w:ascii="Times New Roman"/>
          <w:sz w:val="30"/>
          <w:szCs w:val="30"/>
        </w:rPr>
        <w:t>）</w:t>
      </w:r>
    </w:p>
    <w:p w14:paraId="498F3AD4">
      <w:pPr>
        <w:pStyle w:val="14"/>
        <w:spacing w:line="360" w:lineRule="auto"/>
        <w:ind w:left="99" w:leftChars="47"/>
        <w:rPr>
          <w:rFonts w:ascii="Times New Roman" w:hAnsi="Times New Roman"/>
          <w:color w:val="000000"/>
          <w:sz w:val="32"/>
        </w:rPr>
      </w:pPr>
    </w:p>
    <w:p w14:paraId="16D0AF6F">
      <w:pPr>
        <w:rPr>
          <w:rFonts w:ascii="Times New Roman" w:hAnsi="Times New Roman"/>
          <w:color w:val="000000"/>
          <w:sz w:val="32"/>
        </w:rPr>
      </w:pPr>
    </w:p>
    <w:p w14:paraId="5EE6F5B0">
      <w:pPr>
        <w:rPr>
          <w:rFonts w:ascii="Times New Roman" w:hAnsi="Times New Roman"/>
          <w:color w:val="000000"/>
          <w:sz w:val="32"/>
        </w:rPr>
      </w:pPr>
    </w:p>
    <w:p w14:paraId="5D6C3BE6">
      <w:pPr>
        <w:rPr>
          <w:rFonts w:ascii="Times New Roman" w:hAnsi="Times New Roman"/>
          <w:color w:val="000000"/>
          <w:sz w:val="32"/>
        </w:rPr>
      </w:pPr>
    </w:p>
    <w:p w14:paraId="1C42D407">
      <w:pPr>
        <w:rPr>
          <w:rFonts w:ascii="Times New Roman" w:hAnsi="Times New Roman"/>
          <w:color w:val="000000"/>
          <w:sz w:val="32"/>
        </w:rPr>
      </w:pPr>
    </w:p>
    <w:p w14:paraId="4ACCD27B">
      <w:pPr>
        <w:rPr>
          <w:rFonts w:ascii="Times New Roman" w:hAnsi="Times New Roman"/>
          <w:color w:val="000000"/>
          <w:sz w:val="32"/>
        </w:rPr>
      </w:pPr>
    </w:p>
    <w:p w14:paraId="2EB38C88">
      <w:pPr>
        <w:spacing w:line="360" w:lineRule="auto"/>
        <w:jc w:val="center"/>
        <w:rPr>
          <w:rFonts w:ascii="Times New Roman" w:hAnsi="Times New Roman"/>
          <w:b/>
          <w:bCs/>
          <w:color w:val="000000"/>
          <w:sz w:val="32"/>
        </w:rPr>
      </w:pPr>
      <w:r>
        <w:rPr>
          <w:rFonts w:ascii="Times New Roman" w:hAnsi="宋体"/>
          <w:b/>
          <w:bCs/>
          <w:color w:val="000000"/>
          <w:sz w:val="32"/>
        </w:rPr>
        <w:t>中国</w:t>
      </w:r>
      <w:r>
        <w:rPr>
          <w:rFonts w:hint="eastAsia" w:ascii="Times New Roman" w:hAnsi="宋体"/>
          <w:b/>
          <w:bCs/>
          <w:color w:val="000000"/>
          <w:sz w:val="32"/>
        </w:rPr>
        <w:t>国检测试控股集团</w:t>
      </w:r>
      <w:r>
        <w:rPr>
          <w:rFonts w:ascii="Times New Roman" w:hAnsi="宋体"/>
          <w:b/>
          <w:bCs/>
          <w:color w:val="000000"/>
          <w:sz w:val="32"/>
        </w:rPr>
        <w:t>股份有限公司</w:t>
      </w:r>
    </w:p>
    <w:p w14:paraId="3922FAB3">
      <w:pPr>
        <w:pStyle w:val="9"/>
        <w:spacing w:line="360" w:lineRule="auto"/>
        <w:ind w:left="99" w:leftChars="47"/>
        <w:jc w:val="center"/>
        <w:rPr>
          <w:color w:val="000000"/>
          <w:kern w:val="2"/>
          <w:sz w:val="32"/>
          <w:szCs w:val="22"/>
        </w:rPr>
      </w:pPr>
      <w:r>
        <w:rPr>
          <w:color w:val="000000"/>
          <w:kern w:val="2"/>
          <w:sz w:val="32"/>
          <w:szCs w:val="22"/>
        </w:rPr>
        <w:t>202</w:t>
      </w:r>
      <w:r>
        <w:rPr>
          <w:rFonts w:hint="eastAsia"/>
          <w:color w:val="000000"/>
          <w:kern w:val="2"/>
          <w:sz w:val="32"/>
          <w:szCs w:val="22"/>
          <w:lang w:val="en-US" w:eastAsia="zh-CN"/>
        </w:rPr>
        <w:t>5</w:t>
      </w:r>
      <w:r>
        <w:rPr>
          <w:rFonts w:hAnsi="宋体"/>
          <w:color w:val="000000"/>
          <w:kern w:val="2"/>
          <w:sz w:val="32"/>
          <w:szCs w:val="22"/>
        </w:rPr>
        <w:t>年</w:t>
      </w:r>
      <w:r>
        <w:rPr>
          <w:color w:val="000000"/>
          <w:kern w:val="2"/>
          <w:sz w:val="32"/>
          <w:szCs w:val="22"/>
        </w:rPr>
        <w:t>0</w:t>
      </w:r>
      <w:r>
        <w:rPr>
          <w:rFonts w:hint="eastAsia"/>
          <w:color w:val="000000"/>
          <w:kern w:val="2"/>
          <w:sz w:val="32"/>
          <w:szCs w:val="22"/>
          <w:lang w:val="en-US" w:eastAsia="zh-CN"/>
        </w:rPr>
        <w:t>9</w:t>
      </w:r>
      <w:r>
        <w:rPr>
          <w:rFonts w:hAnsi="宋体"/>
          <w:color w:val="000000"/>
          <w:kern w:val="2"/>
          <w:sz w:val="32"/>
          <w:szCs w:val="22"/>
        </w:rPr>
        <w:t>月</w:t>
      </w:r>
    </w:p>
    <w:p w14:paraId="0DF86ED6">
      <w:pPr>
        <w:rPr>
          <w:rFonts w:ascii="Times New Roman" w:hAnsi="Times New Roman"/>
          <w:color w:val="000000"/>
          <w:sz w:val="32"/>
        </w:rPr>
        <w:sectPr>
          <w:footerReference r:id="rId3" w:type="default"/>
          <w:pgSz w:w="11906" w:h="16838"/>
          <w:pgMar w:top="1440" w:right="1400" w:bottom="1440" w:left="1400" w:header="851" w:footer="992" w:gutter="0"/>
          <w:cols w:space="0" w:num="1"/>
          <w:docGrid w:type="lines" w:linePitch="314" w:charSpace="304"/>
        </w:sectPr>
      </w:pPr>
    </w:p>
    <w:p w14:paraId="0EC0B800">
      <w:pPr>
        <w:tabs>
          <w:tab w:val="left" w:pos="4310"/>
        </w:tabs>
        <w:ind w:firstLine="142" w:firstLineChars="47"/>
        <w:jc w:val="center"/>
        <w:rPr>
          <w:rFonts w:ascii="Times New Roman" w:hAnsi="Times New Roman"/>
          <w:b/>
          <w:sz w:val="30"/>
          <w:szCs w:val="30"/>
        </w:rPr>
      </w:pPr>
      <w:r>
        <w:rPr>
          <w:rFonts w:ascii="Times New Roman"/>
          <w:b/>
          <w:sz w:val="30"/>
          <w:szCs w:val="30"/>
        </w:rPr>
        <w:t>目录</w:t>
      </w:r>
    </w:p>
    <w:p w14:paraId="125F8A94">
      <w:pPr>
        <w:pStyle w:val="13"/>
        <w:rPr>
          <w:rFonts w:asciiTheme="minorHAnsi" w:hAnsiTheme="minorHAnsi" w:cstheme="minorBidi"/>
          <w:b w:val="0"/>
          <w:sz w:val="21"/>
          <w:szCs w:val="22"/>
        </w:rPr>
      </w:pPr>
      <w:r>
        <w:rPr>
          <w:b w:val="0"/>
          <w:sz w:val="24"/>
        </w:rPr>
        <w:fldChar w:fldCharType="begin"/>
      </w:r>
      <w:r>
        <w:rPr>
          <w:sz w:val="24"/>
        </w:rPr>
        <w:instrText xml:space="preserve"> TOC \o "1-3" \h \z \u </w:instrText>
      </w:r>
      <w:r>
        <w:rPr>
          <w:b w:val="0"/>
          <w:sz w:val="24"/>
        </w:rPr>
        <w:fldChar w:fldCharType="separate"/>
      </w:r>
      <w:r>
        <w:fldChar w:fldCharType="begin"/>
      </w:r>
      <w:r>
        <w:instrText xml:space="preserve"> HYPERLINK \l "_Toc37604919" </w:instrText>
      </w:r>
      <w:r>
        <w:fldChar w:fldCharType="separate"/>
      </w:r>
      <w:r>
        <w:rPr>
          <w:rStyle w:val="22"/>
        </w:rPr>
        <w:t xml:space="preserve">1. </w:t>
      </w:r>
      <w:r>
        <w:rPr>
          <w:rStyle w:val="22"/>
          <w:rFonts w:hint="eastAsia"/>
        </w:rPr>
        <w:t>工作简况</w:t>
      </w:r>
      <w:r>
        <w:tab/>
      </w:r>
      <w:r>
        <w:fldChar w:fldCharType="end"/>
      </w:r>
      <w:r>
        <w:t>1</w:t>
      </w:r>
    </w:p>
    <w:p w14:paraId="76541A8B">
      <w:pPr>
        <w:pStyle w:val="13"/>
        <w:rPr>
          <w:rFonts w:asciiTheme="minorHAnsi" w:hAnsiTheme="minorHAnsi" w:cstheme="minorBidi"/>
          <w:b w:val="0"/>
          <w:sz w:val="21"/>
          <w:szCs w:val="22"/>
        </w:rPr>
      </w:pPr>
      <w:r>
        <w:fldChar w:fldCharType="begin"/>
      </w:r>
      <w:r>
        <w:instrText xml:space="preserve"> HYPERLINK \l "_Toc37604925" </w:instrText>
      </w:r>
      <w:r>
        <w:fldChar w:fldCharType="separate"/>
      </w:r>
      <w:r>
        <w:rPr>
          <w:rStyle w:val="22"/>
        </w:rPr>
        <w:t xml:space="preserve">2. </w:t>
      </w:r>
      <w:r>
        <w:rPr>
          <w:rStyle w:val="22"/>
          <w:rFonts w:hint="eastAsia"/>
        </w:rPr>
        <w:t>标准编制原则和主要内容的说明</w:t>
      </w:r>
      <w:r>
        <w:tab/>
      </w:r>
      <w:r>
        <w:fldChar w:fldCharType="begin"/>
      </w:r>
      <w:r>
        <w:instrText xml:space="preserve"> PAGEREF _Toc37604925 \h </w:instrText>
      </w:r>
      <w:r>
        <w:fldChar w:fldCharType="separate"/>
      </w:r>
      <w:r>
        <w:t>1</w:t>
      </w:r>
      <w:r>
        <w:fldChar w:fldCharType="end"/>
      </w:r>
      <w:r>
        <w:fldChar w:fldCharType="end"/>
      </w:r>
    </w:p>
    <w:p w14:paraId="138B2AFA">
      <w:pPr>
        <w:pStyle w:val="13"/>
        <w:rPr>
          <w:rFonts w:asciiTheme="minorHAnsi" w:hAnsiTheme="minorHAnsi" w:cstheme="minorBidi"/>
          <w:b w:val="0"/>
          <w:sz w:val="21"/>
          <w:szCs w:val="22"/>
        </w:rPr>
      </w:pPr>
      <w:r>
        <w:fldChar w:fldCharType="begin"/>
      </w:r>
      <w:r>
        <w:instrText xml:space="preserve"> HYPERLINK \l "_Toc37604933" </w:instrText>
      </w:r>
      <w:r>
        <w:fldChar w:fldCharType="separate"/>
      </w:r>
      <w:r>
        <w:rPr>
          <w:rStyle w:val="22"/>
        </w:rPr>
        <w:t xml:space="preserve">3. </w:t>
      </w:r>
      <w:r>
        <w:rPr>
          <w:rStyle w:val="22"/>
          <w:rFonts w:hint="eastAsia"/>
        </w:rPr>
        <w:t>主要实验和验证情况分析</w:t>
      </w:r>
      <w:r>
        <w:tab/>
      </w:r>
      <w:r>
        <w:fldChar w:fldCharType="begin"/>
      </w:r>
      <w:r>
        <w:instrText xml:space="preserve"> PAGEREF _Toc37604933 \h </w:instrText>
      </w:r>
      <w:r>
        <w:fldChar w:fldCharType="separate"/>
      </w:r>
      <w:r>
        <w:t>5</w:t>
      </w:r>
      <w:r>
        <w:fldChar w:fldCharType="end"/>
      </w:r>
      <w:r>
        <w:fldChar w:fldCharType="end"/>
      </w:r>
    </w:p>
    <w:p w14:paraId="5CFC82A0">
      <w:pPr>
        <w:pStyle w:val="13"/>
        <w:rPr>
          <w:rFonts w:asciiTheme="minorHAnsi" w:hAnsiTheme="minorHAnsi" w:cstheme="minorBidi"/>
          <w:b w:val="0"/>
          <w:sz w:val="21"/>
          <w:szCs w:val="22"/>
        </w:rPr>
      </w:pPr>
      <w:r>
        <w:fldChar w:fldCharType="begin"/>
      </w:r>
      <w:r>
        <w:instrText xml:space="preserve"> HYPERLINK \l "_Toc37604939" </w:instrText>
      </w:r>
      <w:r>
        <w:fldChar w:fldCharType="separate"/>
      </w:r>
      <w:r>
        <w:rPr>
          <w:rStyle w:val="22"/>
        </w:rPr>
        <w:t xml:space="preserve">4. </w:t>
      </w:r>
      <w:r>
        <w:rPr>
          <w:rStyle w:val="22"/>
          <w:rFonts w:hint="eastAsia"/>
        </w:rPr>
        <w:t>标准涉及专利的情况</w:t>
      </w:r>
      <w:r>
        <w:tab/>
      </w:r>
      <w:r>
        <w:fldChar w:fldCharType="begin"/>
      </w:r>
      <w:r>
        <w:instrText xml:space="preserve"> PAGEREF _Toc37604939 \h </w:instrText>
      </w:r>
      <w:r>
        <w:fldChar w:fldCharType="separate"/>
      </w:r>
      <w:r>
        <w:t>14</w:t>
      </w:r>
      <w:r>
        <w:fldChar w:fldCharType="end"/>
      </w:r>
      <w:r>
        <w:fldChar w:fldCharType="end"/>
      </w:r>
    </w:p>
    <w:p w14:paraId="5E2C0ABE">
      <w:pPr>
        <w:pStyle w:val="13"/>
        <w:rPr>
          <w:rFonts w:asciiTheme="minorHAnsi" w:hAnsiTheme="minorHAnsi" w:cstheme="minorBidi"/>
          <w:b w:val="0"/>
          <w:sz w:val="21"/>
          <w:szCs w:val="22"/>
        </w:rPr>
      </w:pPr>
      <w:r>
        <w:fldChar w:fldCharType="begin"/>
      </w:r>
      <w:r>
        <w:instrText xml:space="preserve"> HYPERLINK \l "_Toc37604940" </w:instrText>
      </w:r>
      <w:r>
        <w:fldChar w:fldCharType="separate"/>
      </w:r>
      <w:r>
        <w:rPr>
          <w:rStyle w:val="22"/>
        </w:rPr>
        <w:t xml:space="preserve">5. </w:t>
      </w:r>
      <w:r>
        <w:rPr>
          <w:rStyle w:val="22"/>
          <w:rFonts w:hint="eastAsia"/>
        </w:rPr>
        <w:t>推广应用论证和预期达到的经济效果</w:t>
      </w:r>
      <w:r>
        <w:tab/>
      </w:r>
      <w:r>
        <w:fldChar w:fldCharType="begin"/>
      </w:r>
      <w:r>
        <w:instrText xml:space="preserve"> PAGEREF _Toc37604940 \h </w:instrText>
      </w:r>
      <w:r>
        <w:fldChar w:fldCharType="separate"/>
      </w:r>
      <w:r>
        <w:t>14</w:t>
      </w:r>
      <w:r>
        <w:fldChar w:fldCharType="end"/>
      </w:r>
      <w:r>
        <w:fldChar w:fldCharType="end"/>
      </w:r>
    </w:p>
    <w:p w14:paraId="5AA4F3F6">
      <w:pPr>
        <w:pStyle w:val="13"/>
        <w:rPr>
          <w:rFonts w:asciiTheme="minorHAnsi" w:hAnsiTheme="minorHAnsi" w:cstheme="minorBidi"/>
          <w:b w:val="0"/>
          <w:sz w:val="21"/>
          <w:szCs w:val="22"/>
        </w:rPr>
      </w:pPr>
      <w:r>
        <w:fldChar w:fldCharType="begin"/>
      </w:r>
      <w:r>
        <w:instrText xml:space="preserve"> HYPERLINK \l "_Toc37604941" </w:instrText>
      </w:r>
      <w:r>
        <w:fldChar w:fldCharType="separate"/>
      </w:r>
      <w:r>
        <w:rPr>
          <w:rStyle w:val="22"/>
        </w:rPr>
        <w:t xml:space="preserve">6. </w:t>
      </w:r>
      <w:r>
        <w:rPr>
          <w:rStyle w:val="22"/>
          <w:rFonts w:hint="eastAsia"/>
        </w:rPr>
        <w:t>采用国际标准和国外先进标准的情况</w:t>
      </w:r>
      <w:r>
        <w:tab/>
      </w:r>
      <w:r>
        <w:fldChar w:fldCharType="begin"/>
      </w:r>
      <w:r>
        <w:instrText xml:space="preserve"> PAGEREF _Toc37604941 \h </w:instrText>
      </w:r>
      <w:r>
        <w:fldChar w:fldCharType="separate"/>
      </w:r>
      <w:r>
        <w:t>14</w:t>
      </w:r>
      <w:r>
        <w:fldChar w:fldCharType="end"/>
      </w:r>
      <w:r>
        <w:fldChar w:fldCharType="end"/>
      </w:r>
    </w:p>
    <w:p w14:paraId="05301583">
      <w:pPr>
        <w:pStyle w:val="13"/>
        <w:rPr>
          <w:rFonts w:asciiTheme="minorHAnsi" w:hAnsiTheme="minorHAnsi" w:cstheme="minorBidi"/>
          <w:b w:val="0"/>
          <w:sz w:val="21"/>
          <w:szCs w:val="22"/>
        </w:rPr>
      </w:pPr>
      <w:r>
        <w:fldChar w:fldCharType="begin"/>
      </w:r>
      <w:r>
        <w:instrText xml:space="preserve"> HYPERLINK \l "_Toc37604942" </w:instrText>
      </w:r>
      <w:r>
        <w:fldChar w:fldCharType="separate"/>
      </w:r>
      <w:r>
        <w:rPr>
          <w:rStyle w:val="22"/>
        </w:rPr>
        <w:t xml:space="preserve">7. </w:t>
      </w:r>
      <w:r>
        <w:rPr>
          <w:rStyle w:val="22"/>
          <w:rFonts w:hint="eastAsia"/>
        </w:rPr>
        <w:t>与现行相关法律、法规、规章及相关标准，特别是强制性标准的协调性</w:t>
      </w:r>
      <w:r>
        <w:tab/>
      </w:r>
      <w:r>
        <w:fldChar w:fldCharType="begin"/>
      </w:r>
      <w:r>
        <w:instrText xml:space="preserve"> PAGEREF _Toc37604942 \h </w:instrText>
      </w:r>
      <w:r>
        <w:fldChar w:fldCharType="separate"/>
      </w:r>
      <w:r>
        <w:t>14</w:t>
      </w:r>
      <w:r>
        <w:fldChar w:fldCharType="end"/>
      </w:r>
      <w:r>
        <w:fldChar w:fldCharType="end"/>
      </w:r>
    </w:p>
    <w:p w14:paraId="20B600B5">
      <w:pPr>
        <w:pStyle w:val="13"/>
        <w:rPr>
          <w:rFonts w:asciiTheme="minorHAnsi" w:hAnsiTheme="minorHAnsi" w:cstheme="minorBidi"/>
          <w:b w:val="0"/>
          <w:sz w:val="21"/>
          <w:szCs w:val="22"/>
        </w:rPr>
      </w:pPr>
      <w:r>
        <w:fldChar w:fldCharType="begin"/>
      </w:r>
      <w:r>
        <w:instrText xml:space="preserve"> HYPERLINK \l "_Toc37604943" </w:instrText>
      </w:r>
      <w:r>
        <w:fldChar w:fldCharType="separate"/>
      </w:r>
      <w:r>
        <w:rPr>
          <w:rStyle w:val="22"/>
        </w:rPr>
        <w:t xml:space="preserve">8. </w:t>
      </w:r>
      <w:r>
        <w:rPr>
          <w:rStyle w:val="22"/>
          <w:rFonts w:hint="eastAsia"/>
        </w:rPr>
        <w:t>重大分歧意见的处理过程和依据</w:t>
      </w:r>
      <w:r>
        <w:tab/>
      </w:r>
      <w:r>
        <w:fldChar w:fldCharType="begin"/>
      </w:r>
      <w:r>
        <w:instrText xml:space="preserve"> PAGEREF _Toc37604943 \h </w:instrText>
      </w:r>
      <w:r>
        <w:fldChar w:fldCharType="separate"/>
      </w:r>
      <w:r>
        <w:t>14</w:t>
      </w:r>
      <w:r>
        <w:fldChar w:fldCharType="end"/>
      </w:r>
      <w:r>
        <w:fldChar w:fldCharType="end"/>
      </w:r>
    </w:p>
    <w:p w14:paraId="0145E97D">
      <w:pPr>
        <w:pStyle w:val="13"/>
        <w:rPr>
          <w:rFonts w:asciiTheme="minorHAnsi" w:hAnsiTheme="minorHAnsi" w:cstheme="minorBidi"/>
          <w:b w:val="0"/>
          <w:sz w:val="21"/>
          <w:szCs w:val="22"/>
        </w:rPr>
      </w:pPr>
      <w:r>
        <w:fldChar w:fldCharType="begin"/>
      </w:r>
      <w:r>
        <w:instrText xml:space="preserve"> HYPERLINK \l "_Toc37604944" </w:instrText>
      </w:r>
      <w:r>
        <w:fldChar w:fldCharType="separate"/>
      </w:r>
      <w:r>
        <w:rPr>
          <w:rStyle w:val="22"/>
        </w:rPr>
        <w:t xml:space="preserve">9. </w:t>
      </w:r>
      <w:r>
        <w:rPr>
          <w:rStyle w:val="22"/>
          <w:rFonts w:hint="eastAsia"/>
        </w:rPr>
        <w:t>标准性质的建议说明</w:t>
      </w:r>
      <w:r>
        <w:tab/>
      </w:r>
      <w:r>
        <w:fldChar w:fldCharType="begin"/>
      </w:r>
      <w:r>
        <w:instrText xml:space="preserve"> PAGEREF _Toc37604944 \h </w:instrText>
      </w:r>
      <w:r>
        <w:fldChar w:fldCharType="separate"/>
      </w:r>
      <w:r>
        <w:t>14</w:t>
      </w:r>
      <w:r>
        <w:fldChar w:fldCharType="end"/>
      </w:r>
      <w:r>
        <w:fldChar w:fldCharType="end"/>
      </w:r>
    </w:p>
    <w:p w14:paraId="721B09B1">
      <w:pPr>
        <w:pStyle w:val="13"/>
        <w:rPr>
          <w:rFonts w:asciiTheme="minorHAnsi" w:hAnsiTheme="minorHAnsi" w:cstheme="minorBidi"/>
          <w:b w:val="0"/>
          <w:sz w:val="21"/>
          <w:szCs w:val="22"/>
        </w:rPr>
      </w:pPr>
      <w:r>
        <w:fldChar w:fldCharType="begin"/>
      </w:r>
      <w:r>
        <w:instrText xml:space="preserve"> HYPERLINK \l "_Toc37604945" </w:instrText>
      </w:r>
      <w:r>
        <w:fldChar w:fldCharType="separate"/>
      </w:r>
      <w:r>
        <w:rPr>
          <w:rStyle w:val="22"/>
        </w:rPr>
        <w:t xml:space="preserve">10. </w:t>
      </w:r>
      <w:r>
        <w:rPr>
          <w:rStyle w:val="22"/>
          <w:rFonts w:hint="eastAsia"/>
        </w:rPr>
        <w:t>贯彻本标准的要求和措施建议</w:t>
      </w:r>
      <w:r>
        <w:tab/>
      </w:r>
      <w:r>
        <w:fldChar w:fldCharType="begin"/>
      </w:r>
      <w:r>
        <w:instrText xml:space="preserve"> PAGEREF _Toc37604945 \h </w:instrText>
      </w:r>
      <w:r>
        <w:fldChar w:fldCharType="separate"/>
      </w:r>
      <w:r>
        <w:t>15</w:t>
      </w:r>
      <w:r>
        <w:fldChar w:fldCharType="end"/>
      </w:r>
      <w:r>
        <w:fldChar w:fldCharType="end"/>
      </w:r>
    </w:p>
    <w:p w14:paraId="124FCEBB">
      <w:pPr>
        <w:pStyle w:val="13"/>
        <w:rPr>
          <w:rFonts w:asciiTheme="minorHAnsi" w:hAnsiTheme="minorHAnsi" w:cstheme="minorBidi"/>
          <w:b w:val="0"/>
          <w:sz w:val="21"/>
          <w:szCs w:val="22"/>
        </w:rPr>
      </w:pPr>
      <w:r>
        <w:fldChar w:fldCharType="begin"/>
      </w:r>
      <w:r>
        <w:instrText xml:space="preserve"> HYPERLINK \l "_Toc37604946" </w:instrText>
      </w:r>
      <w:r>
        <w:fldChar w:fldCharType="separate"/>
      </w:r>
      <w:r>
        <w:rPr>
          <w:rStyle w:val="22"/>
        </w:rPr>
        <w:t>11.</w:t>
      </w:r>
      <w:r>
        <w:rPr>
          <w:rStyle w:val="22"/>
          <w:rFonts w:hint="eastAsia"/>
        </w:rPr>
        <w:t>废止现行有关标准的建议</w:t>
      </w:r>
      <w:r>
        <w:tab/>
      </w:r>
      <w:r>
        <w:fldChar w:fldCharType="begin"/>
      </w:r>
      <w:r>
        <w:instrText xml:space="preserve"> PAGEREF _Toc37604946 \h </w:instrText>
      </w:r>
      <w:r>
        <w:fldChar w:fldCharType="separate"/>
      </w:r>
      <w:r>
        <w:t>15</w:t>
      </w:r>
      <w:r>
        <w:fldChar w:fldCharType="end"/>
      </w:r>
      <w:r>
        <w:fldChar w:fldCharType="end"/>
      </w:r>
    </w:p>
    <w:p w14:paraId="1ABA8B84">
      <w:pPr>
        <w:pStyle w:val="13"/>
        <w:rPr>
          <w:rFonts w:asciiTheme="minorHAnsi" w:hAnsiTheme="minorHAnsi" w:cstheme="minorBidi"/>
          <w:b w:val="0"/>
          <w:sz w:val="21"/>
          <w:szCs w:val="22"/>
        </w:rPr>
      </w:pPr>
      <w:r>
        <w:fldChar w:fldCharType="begin"/>
      </w:r>
      <w:r>
        <w:instrText xml:space="preserve"> HYPERLINK \l "_Toc37604947" </w:instrText>
      </w:r>
      <w:r>
        <w:fldChar w:fldCharType="separate"/>
      </w:r>
      <w:r>
        <w:rPr>
          <w:rStyle w:val="22"/>
        </w:rPr>
        <w:t>12</w:t>
      </w:r>
      <w:r>
        <w:rPr>
          <w:rStyle w:val="22"/>
          <w:rFonts w:hint="eastAsia"/>
        </w:rPr>
        <w:t>．其他应说明的事项</w:t>
      </w:r>
      <w:r>
        <w:tab/>
      </w:r>
      <w:r>
        <w:fldChar w:fldCharType="begin"/>
      </w:r>
      <w:r>
        <w:instrText xml:space="preserve"> PAGEREF _Toc37604947 \h </w:instrText>
      </w:r>
      <w:r>
        <w:fldChar w:fldCharType="separate"/>
      </w:r>
      <w:r>
        <w:t>15</w:t>
      </w:r>
      <w:r>
        <w:fldChar w:fldCharType="end"/>
      </w:r>
      <w:r>
        <w:fldChar w:fldCharType="end"/>
      </w:r>
    </w:p>
    <w:p w14:paraId="0187078C">
      <w:pPr>
        <w:pStyle w:val="13"/>
        <w:rPr>
          <w:rFonts w:asciiTheme="minorHAnsi" w:hAnsiTheme="minorHAnsi" w:cstheme="minorBidi"/>
          <w:b w:val="0"/>
          <w:sz w:val="21"/>
          <w:szCs w:val="22"/>
        </w:rPr>
      </w:pPr>
      <w:r>
        <w:fldChar w:fldCharType="begin"/>
      </w:r>
      <w:r>
        <w:instrText xml:space="preserve"> HYPERLINK \l "_Toc37604948" </w:instrText>
      </w:r>
      <w:r>
        <w:fldChar w:fldCharType="separate"/>
      </w:r>
      <w:r>
        <w:rPr>
          <w:rStyle w:val="22"/>
          <w:rFonts w:hint="eastAsia"/>
        </w:rPr>
        <w:t>附录</w:t>
      </w:r>
      <w:r>
        <w:rPr>
          <w:rStyle w:val="22"/>
        </w:rPr>
        <w:t>A</w:t>
      </w:r>
      <w:r>
        <w:rPr>
          <w:rStyle w:val="22"/>
          <w:rFonts w:hint="eastAsia"/>
        </w:rPr>
        <w:t>验证</w:t>
      </w:r>
      <w:r>
        <w:rPr>
          <w:rStyle w:val="22"/>
        </w:rPr>
        <w:t>试验结果报告</w:t>
      </w:r>
      <w:r>
        <w:tab/>
      </w:r>
      <w:r>
        <w:fldChar w:fldCharType="begin"/>
      </w:r>
      <w:r>
        <w:instrText xml:space="preserve"> PAGEREF _Toc37604948 \h </w:instrText>
      </w:r>
      <w:r>
        <w:fldChar w:fldCharType="separate"/>
      </w:r>
      <w:r>
        <w:t>16</w:t>
      </w:r>
      <w:r>
        <w:fldChar w:fldCharType="end"/>
      </w:r>
      <w:r>
        <w:fldChar w:fldCharType="end"/>
      </w:r>
    </w:p>
    <w:p w14:paraId="34392900">
      <w:pPr>
        <w:pStyle w:val="2"/>
        <w:spacing w:before="312" w:beforeLines="100" w:after="156" w:afterLines="50" w:line="360" w:lineRule="auto"/>
        <w:rPr>
          <w:rFonts w:ascii="Times New Roman" w:hAnsi="Times New Roman" w:eastAsiaTheme="minorEastAsia"/>
          <w:sz w:val="24"/>
          <w:szCs w:val="24"/>
        </w:rPr>
        <w:sectPr>
          <w:pgSz w:w="11906" w:h="16838"/>
          <w:pgMar w:top="1440" w:right="1800" w:bottom="1135" w:left="1800" w:header="851" w:footer="992" w:gutter="0"/>
          <w:pgNumType w:fmt="upperRoman" w:start="1"/>
          <w:cols w:space="425" w:num="1"/>
          <w:docGrid w:type="lines" w:linePitch="312" w:charSpace="0"/>
        </w:sectPr>
      </w:pPr>
      <w:r>
        <w:rPr>
          <w:rFonts w:ascii="Times New Roman" w:hAnsi="Times New Roman"/>
          <w:sz w:val="24"/>
          <w:szCs w:val="24"/>
        </w:rPr>
        <w:fldChar w:fldCharType="end"/>
      </w:r>
    </w:p>
    <w:p w14:paraId="0FE6C61D">
      <w:pPr>
        <w:pStyle w:val="2"/>
        <w:spacing w:before="326" w:beforeLines="100" w:after="163" w:afterLines="50" w:line="360" w:lineRule="auto"/>
        <w:rPr>
          <w:rFonts w:ascii="Times New Roman" w:hAnsi="Times New Roman"/>
          <w:sz w:val="28"/>
          <w:szCs w:val="24"/>
        </w:rPr>
      </w:pPr>
      <w:bookmarkStart w:id="0" w:name="_Toc37604919"/>
      <w:r>
        <w:rPr>
          <w:rFonts w:ascii="Times New Roman" w:hAnsi="Times New Roman"/>
          <w:sz w:val="28"/>
          <w:szCs w:val="24"/>
        </w:rPr>
        <w:t>1. 工作简况</w:t>
      </w:r>
      <w:bookmarkEnd w:id="0"/>
    </w:p>
    <w:p w14:paraId="234AEEBC">
      <w:pPr>
        <w:tabs>
          <w:tab w:val="left" w:pos="375"/>
          <w:tab w:val="left" w:pos="2692"/>
        </w:tabs>
        <w:spacing w:before="326" w:beforeLines="100" w:after="326" w:afterLines="100" w:line="360" w:lineRule="auto"/>
        <w:outlineLvl w:val="1"/>
        <w:rPr>
          <w:rFonts w:ascii="黑体" w:hAnsi="Times New Roman" w:eastAsia="黑体"/>
          <w:b/>
          <w:sz w:val="24"/>
          <w:szCs w:val="24"/>
        </w:rPr>
      </w:pPr>
      <w:bookmarkStart w:id="1" w:name="_Toc37601244"/>
      <w:bookmarkStart w:id="2" w:name="_Toc37604920"/>
      <w:r>
        <w:rPr>
          <w:rFonts w:ascii="黑体" w:hAnsi="Times New Roman" w:eastAsia="黑体"/>
          <w:b/>
          <w:sz w:val="24"/>
          <w:szCs w:val="24"/>
        </w:rPr>
        <w:t>1.1任务来源</w:t>
      </w:r>
      <w:bookmarkEnd w:id="1"/>
      <w:bookmarkEnd w:id="2"/>
    </w:p>
    <w:p w14:paraId="0CB57A3B">
      <w:pPr>
        <w:spacing w:line="360" w:lineRule="auto"/>
        <w:ind w:firstLine="420"/>
        <w:rPr>
          <w:rFonts w:ascii="Times New Roman" w:hAnsi="Times New Roman"/>
          <w:color w:val="000000"/>
          <w:sz w:val="24"/>
          <w:szCs w:val="24"/>
        </w:rPr>
      </w:pPr>
      <w:r>
        <w:rPr>
          <w:rFonts w:hint="eastAsia" w:ascii="Times New Roman" w:hAnsi="Times New Roman"/>
          <w:color w:val="000000"/>
          <w:sz w:val="24"/>
          <w:szCs w:val="24"/>
        </w:rPr>
        <w:t>根据中国建筑材料联合会在中建材联标发[20</w:t>
      </w:r>
      <w:r>
        <w:rPr>
          <w:rFonts w:ascii="Times New Roman" w:hAnsi="Times New Roman"/>
          <w:color w:val="000000"/>
          <w:sz w:val="24"/>
          <w:szCs w:val="24"/>
        </w:rPr>
        <w:t>2</w:t>
      </w:r>
      <w:r>
        <w:rPr>
          <w:rFonts w:hint="eastAsia" w:ascii="Times New Roman" w:hAnsi="Times New Roman"/>
          <w:color w:val="000000"/>
          <w:sz w:val="24"/>
          <w:szCs w:val="24"/>
          <w:lang w:val="en-US" w:eastAsia="zh-CN"/>
        </w:rPr>
        <w:t>3</w:t>
      </w:r>
      <w:r>
        <w:rPr>
          <w:rFonts w:hint="eastAsia" w:ascii="Times New Roman" w:hAnsi="Times New Roman"/>
          <w:color w:val="000000"/>
          <w:sz w:val="24"/>
          <w:szCs w:val="24"/>
        </w:rPr>
        <w:t>]</w:t>
      </w:r>
      <w:r>
        <w:rPr>
          <w:rFonts w:hint="eastAsia" w:ascii="Times New Roman" w:hAnsi="Times New Roman"/>
          <w:color w:val="000000"/>
          <w:sz w:val="24"/>
          <w:szCs w:val="24"/>
          <w:lang w:val="en-US" w:eastAsia="zh-CN"/>
        </w:rPr>
        <w:t>85</w:t>
      </w:r>
      <w:r>
        <w:rPr>
          <w:rFonts w:hint="eastAsia" w:ascii="Times New Roman" w:hAnsi="Times New Roman"/>
          <w:color w:val="000000"/>
          <w:sz w:val="24"/>
          <w:szCs w:val="24"/>
        </w:rPr>
        <w:t>号《中国建筑材料联合会文件》中要求，由中国国检测试控股集团股份有限公司承担团体标准《空气净化材料气味净化性能感官评价方法》（计划号：20</w:t>
      </w:r>
      <w:r>
        <w:rPr>
          <w:rFonts w:ascii="Times New Roman" w:hAnsi="Times New Roman"/>
          <w:color w:val="000000"/>
          <w:sz w:val="24"/>
          <w:szCs w:val="24"/>
        </w:rPr>
        <w:t>2</w:t>
      </w:r>
      <w:r>
        <w:rPr>
          <w:rFonts w:hint="eastAsia" w:ascii="Times New Roman" w:hAnsi="Times New Roman"/>
          <w:color w:val="000000"/>
          <w:sz w:val="24"/>
          <w:szCs w:val="24"/>
          <w:lang w:val="en-US" w:eastAsia="zh-CN"/>
        </w:rPr>
        <w:t>3</w:t>
      </w:r>
      <w:r>
        <w:rPr>
          <w:rFonts w:hint="eastAsia" w:ascii="Times New Roman" w:hAnsi="Times New Roman"/>
          <w:color w:val="000000"/>
          <w:sz w:val="24"/>
          <w:szCs w:val="24"/>
        </w:rPr>
        <w:t>-</w:t>
      </w:r>
      <w:r>
        <w:rPr>
          <w:rFonts w:hint="eastAsia" w:ascii="Times New Roman" w:hAnsi="Times New Roman"/>
          <w:color w:val="000000"/>
          <w:sz w:val="24"/>
          <w:szCs w:val="24"/>
          <w:lang w:val="en-US" w:eastAsia="zh-CN"/>
        </w:rPr>
        <w:t>97</w:t>
      </w:r>
      <w:r>
        <w:rPr>
          <w:rFonts w:hint="eastAsia" w:ascii="Times New Roman" w:hAnsi="Times New Roman"/>
          <w:color w:val="000000"/>
          <w:sz w:val="24"/>
          <w:szCs w:val="24"/>
        </w:rPr>
        <w:t>-xbjh）的编制工作。</w:t>
      </w:r>
    </w:p>
    <w:p w14:paraId="291ECFB0">
      <w:pPr>
        <w:tabs>
          <w:tab w:val="left" w:pos="375"/>
          <w:tab w:val="left" w:pos="2692"/>
        </w:tabs>
        <w:spacing w:before="326" w:beforeLines="100" w:after="326" w:afterLines="100" w:line="360" w:lineRule="auto"/>
        <w:outlineLvl w:val="1"/>
        <w:rPr>
          <w:rFonts w:ascii="黑体" w:hAnsi="Times New Roman" w:eastAsia="黑体"/>
          <w:b/>
          <w:sz w:val="24"/>
          <w:szCs w:val="24"/>
        </w:rPr>
      </w:pPr>
      <w:bookmarkStart w:id="3" w:name="_Toc37601245"/>
      <w:bookmarkStart w:id="4" w:name="_Toc37604921"/>
      <w:r>
        <w:rPr>
          <w:rFonts w:ascii="黑体" w:hAnsi="Times New Roman" w:eastAsia="黑体"/>
          <w:b/>
          <w:sz w:val="24"/>
          <w:szCs w:val="24"/>
        </w:rPr>
        <w:t>1.2简要工作过程</w:t>
      </w:r>
      <w:bookmarkEnd w:id="3"/>
      <w:bookmarkEnd w:id="4"/>
    </w:p>
    <w:p w14:paraId="1E124F25">
      <w:pPr>
        <w:spacing w:line="360" w:lineRule="auto"/>
        <w:ind w:firstLine="420"/>
        <w:rPr>
          <w:rFonts w:ascii="Times New Roman" w:hAnsi="宋体"/>
          <w:color w:val="000000"/>
          <w:sz w:val="24"/>
          <w:szCs w:val="24"/>
        </w:rPr>
      </w:pPr>
      <w:r>
        <w:rPr>
          <w:rFonts w:hint="eastAsia" w:ascii="Times New Roman" w:hAnsi="宋体"/>
          <w:color w:val="000000"/>
          <w:sz w:val="24"/>
          <w:szCs w:val="24"/>
          <w:lang w:eastAsia="zh-CN"/>
        </w:rPr>
        <w:t>本文件</w:t>
      </w:r>
      <w:r>
        <w:rPr>
          <w:rFonts w:ascii="Times New Roman" w:hAnsi="宋体"/>
          <w:color w:val="000000"/>
          <w:sz w:val="24"/>
          <w:szCs w:val="24"/>
        </w:rPr>
        <w:t>制定严格按GB/T1.1《标准化工作导则</w:t>
      </w:r>
      <w:r>
        <w:rPr>
          <w:rFonts w:hint="eastAsia" w:ascii="Times New Roman" w:hAnsi="宋体"/>
          <w:color w:val="000000"/>
          <w:sz w:val="24"/>
          <w:szCs w:val="24"/>
          <w:lang w:val="en-US" w:eastAsia="zh-CN"/>
        </w:rPr>
        <w:t xml:space="preserve"> </w:t>
      </w:r>
      <w:r>
        <w:rPr>
          <w:rFonts w:ascii="Times New Roman" w:hAnsi="宋体"/>
          <w:color w:val="000000"/>
          <w:sz w:val="24"/>
          <w:szCs w:val="24"/>
        </w:rPr>
        <w:t>第1部分：标准的结构和编写规则》，GB/T</w:t>
      </w:r>
      <w:r>
        <w:rPr>
          <w:rFonts w:hint="eastAsia" w:ascii="Times New Roman" w:hAnsi="宋体"/>
          <w:color w:val="000000"/>
          <w:sz w:val="24"/>
          <w:szCs w:val="24"/>
          <w:lang w:val="en-US" w:eastAsia="zh-CN"/>
        </w:rPr>
        <w:t xml:space="preserve"> </w:t>
      </w:r>
      <w:r>
        <w:rPr>
          <w:rFonts w:ascii="Times New Roman" w:hAnsi="宋体"/>
          <w:color w:val="000000"/>
          <w:sz w:val="24"/>
          <w:szCs w:val="24"/>
        </w:rPr>
        <w:t>1.2《标准化工作导则</w:t>
      </w:r>
      <w:r>
        <w:rPr>
          <w:rFonts w:hint="eastAsia" w:ascii="Times New Roman" w:hAnsi="宋体"/>
          <w:color w:val="000000"/>
          <w:sz w:val="24"/>
          <w:szCs w:val="24"/>
          <w:lang w:val="en-US" w:eastAsia="zh-CN"/>
        </w:rPr>
        <w:t xml:space="preserve"> </w:t>
      </w:r>
      <w:r>
        <w:rPr>
          <w:rFonts w:ascii="Times New Roman" w:hAnsi="宋体"/>
          <w:color w:val="000000"/>
          <w:sz w:val="24"/>
          <w:szCs w:val="24"/>
        </w:rPr>
        <w:t>第2部分:</w:t>
      </w:r>
      <w:r>
        <w:rPr>
          <w:rFonts w:hint="eastAsia" w:ascii="Times New Roman" w:hAnsi="宋体"/>
          <w:color w:val="000000"/>
          <w:sz w:val="24"/>
          <w:szCs w:val="24"/>
        </w:rPr>
        <w:t>以ISO/IEC标准化文件为基础的标准化文件起草规则</w:t>
      </w:r>
      <w:r>
        <w:rPr>
          <w:rFonts w:ascii="Times New Roman" w:hAnsi="宋体"/>
          <w:color w:val="000000"/>
          <w:sz w:val="24"/>
          <w:szCs w:val="24"/>
        </w:rPr>
        <w:t>》要求进行。</w:t>
      </w:r>
    </w:p>
    <w:p w14:paraId="3F73031D">
      <w:pPr>
        <w:tabs>
          <w:tab w:val="left" w:pos="375"/>
          <w:tab w:val="left" w:pos="2692"/>
        </w:tabs>
        <w:spacing w:before="326" w:beforeLines="100" w:after="326" w:afterLines="100" w:line="360" w:lineRule="auto"/>
        <w:outlineLvl w:val="2"/>
        <w:rPr>
          <w:rFonts w:ascii="黑体" w:hAnsi="Times New Roman" w:eastAsia="黑体"/>
          <w:b/>
          <w:sz w:val="24"/>
          <w:szCs w:val="24"/>
        </w:rPr>
      </w:pPr>
      <w:bookmarkStart w:id="5" w:name="_Toc37601246"/>
      <w:bookmarkStart w:id="6" w:name="_Toc37604922"/>
      <w:r>
        <w:rPr>
          <w:rFonts w:ascii="黑体" w:hAnsi="Times New Roman" w:eastAsia="黑体"/>
          <w:b/>
          <w:sz w:val="24"/>
          <w:szCs w:val="24"/>
        </w:rPr>
        <w:t>1.2.1 成立标准编制组</w:t>
      </w:r>
      <w:bookmarkEnd w:id="5"/>
      <w:bookmarkEnd w:id="6"/>
    </w:p>
    <w:p w14:paraId="3A4B485D">
      <w:pPr>
        <w:spacing w:line="360" w:lineRule="auto"/>
        <w:ind w:firstLine="420"/>
        <w:rPr>
          <w:rFonts w:ascii="Times New Roman" w:hAnsi="宋体"/>
          <w:color w:val="000000"/>
          <w:sz w:val="24"/>
          <w:szCs w:val="24"/>
        </w:rPr>
      </w:pPr>
      <w:r>
        <w:rPr>
          <w:rFonts w:ascii="Times New Roman" w:hAnsi="宋体"/>
          <w:color w:val="000000"/>
          <w:sz w:val="24"/>
          <w:szCs w:val="24"/>
        </w:rPr>
        <w:t>202</w:t>
      </w:r>
      <w:r>
        <w:rPr>
          <w:rFonts w:hint="eastAsia" w:ascii="Times New Roman" w:hAnsi="宋体"/>
          <w:color w:val="000000"/>
          <w:sz w:val="24"/>
          <w:szCs w:val="24"/>
          <w:lang w:val="en-US" w:eastAsia="zh-CN"/>
        </w:rPr>
        <w:t>3</w:t>
      </w:r>
      <w:r>
        <w:rPr>
          <w:rFonts w:ascii="Times New Roman" w:hAnsi="宋体"/>
          <w:color w:val="000000"/>
          <w:sz w:val="24"/>
          <w:szCs w:val="24"/>
        </w:rPr>
        <w:t>年</w:t>
      </w:r>
      <w:r>
        <w:rPr>
          <w:rFonts w:hint="eastAsia" w:ascii="Times New Roman" w:hAnsi="宋体"/>
          <w:color w:val="000000"/>
          <w:sz w:val="24"/>
          <w:szCs w:val="24"/>
          <w:lang w:val="en-US" w:eastAsia="zh-CN"/>
        </w:rPr>
        <w:t>10</w:t>
      </w:r>
      <w:r>
        <w:rPr>
          <w:rFonts w:ascii="Times New Roman" w:hAnsi="宋体"/>
          <w:color w:val="000000"/>
          <w:sz w:val="24"/>
          <w:szCs w:val="24"/>
        </w:rPr>
        <w:t>月，中国</w:t>
      </w:r>
      <w:r>
        <w:rPr>
          <w:rFonts w:hint="eastAsia" w:ascii="Times New Roman" w:hAnsi="宋体"/>
          <w:color w:val="000000"/>
          <w:sz w:val="24"/>
          <w:szCs w:val="24"/>
        </w:rPr>
        <w:t>国检测试控股集团</w:t>
      </w:r>
      <w:r>
        <w:rPr>
          <w:rFonts w:ascii="Times New Roman" w:hAnsi="宋体"/>
          <w:color w:val="000000"/>
          <w:sz w:val="24"/>
          <w:szCs w:val="24"/>
        </w:rPr>
        <w:t>股份有限公司接到《</w:t>
      </w:r>
      <w:r>
        <w:rPr>
          <w:rFonts w:hint="eastAsia" w:ascii="Times New Roman" w:hAnsi="宋体"/>
          <w:color w:val="000000"/>
          <w:sz w:val="24"/>
          <w:szCs w:val="24"/>
        </w:rPr>
        <w:t>空气净化材料气味净化性能感官评价方法</w:t>
      </w:r>
      <w:r>
        <w:rPr>
          <w:rFonts w:ascii="Times New Roman" w:hAnsi="宋体"/>
          <w:color w:val="000000"/>
          <w:sz w:val="24"/>
          <w:szCs w:val="24"/>
        </w:rPr>
        <w:t>》协会标准的任务以后，成立了标准编制组，负责标准的调研、新方法的开发、方法验证等系列工作的开展。</w:t>
      </w:r>
    </w:p>
    <w:p w14:paraId="7523EB41">
      <w:pPr>
        <w:tabs>
          <w:tab w:val="left" w:pos="375"/>
          <w:tab w:val="left" w:pos="2692"/>
        </w:tabs>
        <w:spacing w:before="326" w:beforeLines="100" w:after="326" w:afterLines="100" w:line="360" w:lineRule="auto"/>
        <w:outlineLvl w:val="1"/>
        <w:rPr>
          <w:rFonts w:ascii="黑体" w:hAnsi="Times New Roman" w:eastAsia="黑体"/>
          <w:b/>
          <w:sz w:val="24"/>
          <w:szCs w:val="24"/>
        </w:rPr>
      </w:pPr>
      <w:bookmarkStart w:id="7" w:name="_Toc37601247"/>
      <w:bookmarkStart w:id="8" w:name="_Toc37604923"/>
      <w:r>
        <w:rPr>
          <w:rFonts w:ascii="黑体" w:hAnsi="Times New Roman" w:eastAsia="黑体"/>
          <w:b/>
          <w:sz w:val="24"/>
          <w:szCs w:val="24"/>
        </w:rPr>
        <w:t>1.2.2 标准及文献调研</w:t>
      </w:r>
      <w:bookmarkEnd w:id="7"/>
      <w:bookmarkEnd w:id="8"/>
    </w:p>
    <w:p w14:paraId="6C927BE4">
      <w:pPr>
        <w:spacing w:line="360" w:lineRule="auto"/>
        <w:ind w:firstLine="420"/>
        <w:rPr>
          <w:rFonts w:hint="eastAsia" w:ascii="Times New Roman" w:hAnsi="宋体"/>
          <w:color w:val="000000"/>
          <w:sz w:val="24"/>
          <w:szCs w:val="24"/>
        </w:rPr>
      </w:pPr>
      <w:r>
        <w:rPr>
          <w:rFonts w:ascii="Times New Roman" w:hAnsi="宋体"/>
          <w:color w:val="000000"/>
          <w:sz w:val="24"/>
          <w:szCs w:val="24"/>
        </w:rPr>
        <w:t>202</w:t>
      </w:r>
      <w:r>
        <w:rPr>
          <w:rFonts w:hint="eastAsia" w:ascii="Times New Roman" w:hAnsi="宋体"/>
          <w:color w:val="000000"/>
          <w:sz w:val="24"/>
          <w:szCs w:val="24"/>
          <w:lang w:val="en-US" w:eastAsia="zh-CN"/>
        </w:rPr>
        <w:t>3</w:t>
      </w:r>
      <w:r>
        <w:rPr>
          <w:rFonts w:ascii="Times New Roman" w:hAnsi="宋体"/>
          <w:color w:val="000000"/>
          <w:sz w:val="24"/>
          <w:szCs w:val="24"/>
        </w:rPr>
        <w:t>年</w:t>
      </w:r>
      <w:r>
        <w:rPr>
          <w:rFonts w:hint="eastAsia" w:ascii="Times New Roman" w:hAnsi="宋体"/>
          <w:color w:val="000000"/>
          <w:sz w:val="24"/>
          <w:szCs w:val="24"/>
          <w:lang w:val="en-US" w:eastAsia="zh-CN"/>
        </w:rPr>
        <w:t>10月～12月</w:t>
      </w:r>
      <w:r>
        <w:rPr>
          <w:rFonts w:ascii="Times New Roman" w:hAnsi="宋体"/>
          <w:color w:val="000000"/>
          <w:sz w:val="24"/>
          <w:szCs w:val="24"/>
        </w:rPr>
        <w:t>，</w:t>
      </w:r>
      <w:r>
        <w:rPr>
          <w:rFonts w:hint="eastAsia" w:ascii="Times New Roman" w:hAnsi="宋体"/>
          <w:color w:val="000000"/>
          <w:sz w:val="24"/>
          <w:szCs w:val="24"/>
        </w:rPr>
        <w:t>调研学习，收集了国内外现有的空气净化产品有关气味的检测方法及相关标准，在此基础上形成了开题报告和标准编制方案。</w:t>
      </w:r>
    </w:p>
    <w:p w14:paraId="216F3ADF">
      <w:pPr>
        <w:tabs>
          <w:tab w:val="left" w:pos="375"/>
          <w:tab w:val="left" w:pos="2205"/>
        </w:tabs>
        <w:spacing w:before="326" w:beforeLines="100" w:after="326" w:afterLines="100" w:line="360" w:lineRule="auto"/>
        <w:outlineLvl w:val="1"/>
        <w:rPr>
          <w:rFonts w:ascii="Times New Roman" w:hAnsi="Times New Roman"/>
          <w:sz w:val="24"/>
          <w:szCs w:val="24"/>
        </w:rPr>
      </w:pPr>
      <w:bookmarkStart w:id="9" w:name="_Toc37604924"/>
      <w:bookmarkStart w:id="10" w:name="_Toc37601248"/>
      <w:r>
        <w:rPr>
          <w:rFonts w:ascii="黑体" w:hAnsi="Times New Roman" w:eastAsia="黑体"/>
          <w:b/>
          <w:sz w:val="24"/>
          <w:szCs w:val="24"/>
        </w:rPr>
        <w:t>1.2.3 方法建立</w:t>
      </w:r>
      <w:bookmarkEnd w:id="9"/>
      <w:bookmarkEnd w:id="10"/>
      <w:r>
        <w:rPr>
          <w:rFonts w:hint="eastAsia" w:ascii="黑体" w:hAnsi="Times New Roman" w:eastAsia="黑体"/>
          <w:b/>
          <w:sz w:val="24"/>
          <w:szCs w:val="24"/>
          <w:lang w:eastAsia="zh-CN"/>
        </w:rPr>
        <w:t>、</w:t>
      </w:r>
      <w:r>
        <w:rPr>
          <w:rFonts w:hint="eastAsia" w:ascii="黑体" w:hAnsi="Times New Roman" w:eastAsia="黑体"/>
          <w:b/>
          <w:sz w:val="24"/>
          <w:szCs w:val="24"/>
          <w:lang w:val="en-US" w:eastAsia="zh-CN"/>
        </w:rPr>
        <w:t>优化及验证试验</w:t>
      </w:r>
      <w:r>
        <w:rPr>
          <w:rFonts w:ascii="Times New Roman" w:hAnsi="Times New Roman"/>
          <w:sz w:val="24"/>
          <w:szCs w:val="24"/>
        </w:rPr>
        <w:tab/>
      </w:r>
    </w:p>
    <w:p w14:paraId="43323270">
      <w:pPr>
        <w:spacing w:line="360" w:lineRule="auto"/>
        <w:ind w:firstLine="480" w:firstLineChars="200"/>
        <w:rPr>
          <w:rFonts w:ascii="Times New Roman" w:hAnsi="Times New Roman"/>
          <w:sz w:val="24"/>
          <w:szCs w:val="24"/>
        </w:rPr>
      </w:pPr>
      <w:r>
        <w:rPr>
          <w:rFonts w:hint="eastAsia" w:ascii="Times New Roman" w:hAnsi="Times New Roman"/>
          <w:sz w:val="24"/>
          <w:szCs w:val="24"/>
        </w:rPr>
        <w:t>2024年1月~2024年5月</w:t>
      </w:r>
      <w:r>
        <w:rPr>
          <w:rFonts w:ascii="Times New Roman"/>
          <w:sz w:val="24"/>
          <w:szCs w:val="24"/>
        </w:rPr>
        <w:t>，标准编制组</w:t>
      </w:r>
      <w:r>
        <w:rPr>
          <w:rFonts w:hint="eastAsia" w:ascii="Times New Roman"/>
          <w:sz w:val="24"/>
          <w:szCs w:val="24"/>
        </w:rPr>
        <w:t>对空气净化材料的前处理条件进行了充分的实验，并培训了一批具有气味评价资质的气味评价人员，收集了</w:t>
      </w:r>
      <w:r>
        <w:rPr>
          <w:rFonts w:hint="eastAsia" w:ascii="Times New Roman"/>
          <w:sz w:val="24"/>
          <w:szCs w:val="24"/>
          <w:lang w:val="en-US" w:eastAsia="zh-CN"/>
        </w:rPr>
        <w:t>代表性净化</w:t>
      </w:r>
      <w:r>
        <w:rPr>
          <w:rFonts w:hint="eastAsia" w:ascii="Times New Roman"/>
          <w:sz w:val="24"/>
          <w:szCs w:val="24"/>
        </w:rPr>
        <w:t>产品进行了前期试验和研究。</w:t>
      </w:r>
      <w:r>
        <w:rPr>
          <w:rFonts w:hint="eastAsia" w:ascii="Times New Roman"/>
          <w:sz w:val="24"/>
          <w:szCs w:val="24"/>
          <w:lang w:val="en-US" w:eastAsia="zh-CN"/>
        </w:rPr>
        <w:t>另外针对于典型室内环境的主要气味物质进行了测试、分析和筛选，形成了模拟气味溶液配制方法</w:t>
      </w:r>
      <w:r>
        <w:rPr>
          <w:rFonts w:ascii="Times New Roman"/>
          <w:sz w:val="24"/>
          <w:szCs w:val="24"/>
        </w:rPr>
        <w:t>。</w:t>
      </w:r>
    </w:p>
    <w:p w14:paraId="77C5B9B7">
      <w:pPr>
        <w:spacing w:line="360" w:lineRule="auto"/>
        <w:ind w:firstLine="480" w:firstLineChars="200"/>
        <w:rPr>
          <w:rFonts w:ascii="Times New Roman" w:hAnsi="Times New Roman"/>
          <w:sz w:val="24"/>
          <w:szCs w:val="24"/>
        </w:rPr>
      </w:pPr>
      <w:r>
        <w:rPr>
          <w:rFonts w:ascii="Times New Roman" w:hAnsi="Times New Roman"/>
          <w:sz w:val="24"/>
          <w:szCs w:val="24"/>
        </w:rPr>
        <w:t>202</w:t>
      </w:r>
      <w:r>
        <w:rPr>
          <w:rFonts w:hint="eastAsia" w:ascii="Times New Roman" w:hAnsi="Times New Roman"/>
          <w:sz w:val="24"/>
          <w:szCs w:val="24"/>
          <w:lang w:val="en-US" w:eastAsia="zh-CN"/>
        </w:rPr>
        <w:t>4</w:t>
      </w:r>
      <w:r>
        <w:rPr>
          <w:rFonts w:ascii="Times New Roman"/>
          <w:sz w:val="24"/>
          <w:szCs w:val="24"/>
        </w:rPr>
        <w:t>年</w:t>
      </w:r>
      <w:r>
        <w:rPr>
          <w:rFonts w:hint="eastAsia" w:ascii="Times New Roman" w:hAnsi="Times New Roman"/>
          <w:sz w:val="24"/>
          <w:szCs w:val="24"/>
          <w:lang w:val="en-US" w:eastAsia="zh-CN"/>
        </w:rPr>
        <w:t>5</w:t>
      </w:r>
      <w:r>
        <w:rPr>
          <w:rFonts w:ascii="Times New Roman"/>
          <w:sz w:val="24"/>
          <w:szCs w:val="24"/>
        </w:rPr>
        <w:t>月，召开第一次标准</w:t>
      </w:r>
      <w:r>
        <w:rPr>
          <w:rFonts w:hint="eastAsia" w:ascii="Times New Roman"/>
          <w:sz w:val="24"/>
          <w:szCs w:val="24"/>
        </w:rPr>
        <w:t>内部</w:t>
      </w:r>
      <w:r>
        <w:rPr>
          <w:rFonts w:ascii="Times New Roman"/>
          <w:sz w:val="24"/>
          <w:szCs w:val="24"/>
        </w:rPr>
        <w:t>研讨会，</w:t>
      </w:r>
      <w:r>
        <w:rPr>
          <w:rFonts w:hint="eastAsia" w:ascii="Times New Roman"/>
          <w:sz w:val="24"/>
          <w:szCs w:val="24"/>
        </w:rPr>
        <w:t>结合前期实验数据</w:t>
      </w:r>
      <w:r>
        <w:rPr>
          <w:rFonts w:ascii="Times New Roman"/>
          <w:sz w:val="24"/>
          <w:szCs w:val="24"/>
        </w:rPr>
        <w:t>，</w:t>
      </w:r>
      <w:r>
        <w:rPr>
          <w:rFonts w:hint="eastAsia" w:ascii="Times New Roman"/>
          <w:sz w:val="24"/>
          <w:szCs w:val="24"/>
        </w:rPr>
        <w:t>标准编制组内部</w:t>
      </w:r>
      <w:r>
        <w:rPr>
          <w:rFonts w:ascii="Times New Roman"/>
          <w:sz w:val="24"/>
          <w:szCs w:val="24"/>
        </w:rPr>
        <w:t>对标准的方案进行了充分的交流与沟通。</w:t>
      </w:r>
    </w:p>
    <w:p w14:paraId="7772A92C">
      <w:pPr>
        <w:tabs>
          <w:tab w:val="left" w:pos="375"/>
          <w:tab w:val="left" w:pos="2692"/>
        </w:tabs>
        <w:spacing w:before="326" w:beforeLines="100" w:after="326" w:afterLines="100" w:line="360" w:lineRule="auto"/>
        <w:rPr>
          <w:rFonts w:ascii="黑体" w:hAnsi="Times New Roman" w:eastAsia="黑体"/>
          <w:b/>
          <w:sz w:val="24"/>
          <w:szCs w:val="24"/>
        </w:rPr>
      </w:pPr>
      <w:bookmarkStart w:id="11" w:name="_Toc37601249"/>
      <w:r>
        <w:rPr>
          <w:rFonts w:ascii="黑体" w:hAnsi="Times New Roman" w:eastAsia="黑体"/>
          <w:b/>
          <w:sz w:val="24"/>
          <w:szCs w:val="24"/>
        </w:rPr>
        <w:t>1.2.4 方法验证</w:t>
      </w:r>
      <w:bookmarkEnd w:id="11"/>
    </w:p>
    <w:p w14:paraId="4A2A4239">
      <w:pPr>
        <w:spacing w:line="360" w:lineRule="auto"/>
        <w:ind w:firstLine="360" w:firstLineChars="150"/>
        <w:rPr>
          <w:rFonts w:hint="eastAsia" w:asci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202</w:t>
      </w:r>
      <w:r>
        <w:rPr>
          <w:rFonts w:hint="eastAsia" w:ascii="Times New Roman" w:hAnsi="Times New Roman"/>
          <w:color w:val="000000" w:themeColor="text1"/>
          <w:sz w:val="24"/>
          <w:szCs w:val="24"/>
          <w:lang w:val="en-US" w:eastAsia="zh-CN"/>
          <w14:textFill>
            <w14:solidFill>
              <w14:schemeClr w14:val="tx1"/>
            </w14:solidFill>
          </w14:textFill>
        </w:rPr>
        <w:t>4</w:t>
      </w:r>
      <w:r>
        <w:rPr>
          <w:rFonts w:ascii="Times New Roman"/>
          <w:color w:val="000000" w:themeColor="text1"/>
          <w:sz w:val="24"/>
          <w:szCs w:val="24"/>
          <w14:textFill>
            <w14:solidFill>
              <w14:schemeClr w14:val="tx1"/>
            </w14:solidFill>
          </w14:textFill>
        </w:rPr>
        <w:t>年</w:t>
      </w:r>
      <w:r>
        <w:rPr>
          <w:rFonts w:hint="eastAsia" w:ascii="Times New Roman" w:hAnsi="Times New Roman"/>
          <w:color w:val="000000" w:themeColor="text1"/>
          <w:sz w:val="24"/>
          <w:szCs w:val="24"/>
          <w:lang w:val="en-US" w:eastAsia="zh-CN"/>
          <w14:textFill>
            <w14:solidFill>
              <w14:schemeClr w14:val="tx1"/>
            </w14:solidFill>
          </w14:textFill>
        </w:rPr>
        <w:t>5</w:t>
      </w:r>
      <w:r>
        <w:rPr>
          <w:rFonts w:ascii="Times New Roman"/>
          <w:color w:val="000000" w:themeColor="text1"/>
          <w:sz w:val="24"/>
          <w:szCs w:val="24"/>
          <w14:textFill>
            <w14:solidFill>
              <w14:schemeClr w14:val="tx1"/>
            </w14:solidFill>
          </w14:textFill>
        </w:rPr>
        <w:t>月</w:t>
      </w:r>
      <w:r>
        <w:rPr>
          <w:rFonts w:hint="eastAsia" w:ascii="Times New Roman"/>
          <w:color w:val="000000" w:themeColor="text1"/>
          <w:sz w:val="24"/>
          <w:szCs w:val="24"/>
          <w14:textFill>
            <w14:solidFill>
              <w14:schemeClr w14:val="tx1"/>
            </w14:solidFill>
          </w14:textFill>
        </w:rPr>
        <w:t>～</w:t>
      </w:r>
      <w:r>
        <w:rPr>
          <w:rFonts w:ascii="Times New Roman"/>
          <w:color w:val="000000" w:themeColor="text1"/>
          <w:sz w:val="24"/>
          <w:szCs w:val="24"/>
          <w14:textFill>
            <w14:solidFill>
              <w14:schemeClr w14:val="tx1"/>
            </w14:solidFill>
          </w14:textFill>
        </w:rPr>
        <w:t>202</w:t>
      </w:r>
      <w:r>
        <w:rPr>
          <w:rFonts w:hint="eastAsia" w:ascii="Times New Roman"/>
          <w:color w:val="000000" w:themeColor="text1"/>
          <w:sz w:val="24"/>
          <w:szCs w:val="24"/>
          <w:lang w:val="en-US" w:eastAsia="zh-CN"/>
          <w14:textFill>
            <w14:solidFill>
              <w14:schemeClr w14:val="tx1"/>
            </w14:solidFill>
          </w14:textFill>
        </w:rPr>
        <w:t>4</w:t>
      </w:r>
      <w:r>
        <w:rPr>
          <w:rFonts w:hint="eastAsia" w:ascii="Times New Roman"/>
          <w:color w:val="000000" w:themeColor="text1"/>
          <w:sz w:val="24"/>
          <w:szCs w:val="24"/>
          <w14:textFill>
            <w14:solidFill>
              <w14:schemeClr w14:val="tx1"/>
            </w14:solidFill>
          </w14:textFill>
        </w:rPr>
        <w:t>年</w:t>
      </w:r>
      <w:r>
        <w:rPr>
          <w:rFonts w:hint="eastAsia" w:ascii="Times New Roman"/>
          <w:color w:val="000000" w:themeColor="text1"/>
          <w:sz w:val="24"/>
          <w:szCs w:val="24"/>
          <w:lang w:val="en-US" w:eastAsia="zh-CN"/>
          <w14:textFill>
            <w14:solidFill>
              <w14:schemeClr w14:val="tx1"/>
            </w14:solidFill>
          </w14:textFill>
        </w:rPr>
        <w:t>11</w:t>
      </w:r>
      <w:r>
        <w:rPr>
          <w:rFonts w:hint="eastAsia" w:ascii="Times New Roman"/>
          <w:color w:val="000000" w:themeColor="text1"/>
          <w:sz w:val="24"/>
          <w:szCs w:val="24"/>
          <w14:textFill>
            <w14:solidFill>
              <w14:schemeClr w14:val="tx1"/>
            </w14:solidFill>
          </w14:textFill>
        </w:rPr>
        <w:t>月，补充了部分收集的样品试验，调整了标准中的气味净化性能划分及指标设置，对标准的文本内容进行了进一步的修改和调整。</w:t>
      </w:r>
    </w:p>
    <w:p w14:paraId="6048EF49">
      <w:pPr>
        <w:spacing w:line="360" w:lineRule="auto"/>
        <w:ind w:firstLine="360" w:firstLineChars="150"/>
        <w:rPr>
          <w:rFonts w:hint="default" w:ascii="Times New Roman" w:eastAsia="宋体"/>
          <w:color w:val="000000" w:themeColor="text1"/>
          <w:sz w:val="24"/>
          <w:szCs w:val="24"/>
          <w:lang w:val="en-US" w:eastAsia="zh-C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202</w:t>
      </w:r>
      <w:r>
        <w:rPr>
          <w:rFonts w:hint="eastAsia" w:ascii="Times New Roman" w:hAnsi="Times New Roman"/>
          <w:color w:val="000000" w:themeColor="text1"/>
          <w:sz w:val="24"/>
          <w:szCs w:val="24"/>
          <w:lang w:val="en-US" w:eastAsia="zh-CN"/>
          <w14:textFill>
            <w14:solidFill>
              <w14:schemeClr w14:val="tx1"/>
            </w14:solidFill>
          </w14:textFill>
        </w:rPr>
        <w:t>4</w:t>
      </w:r>
      <w:r>
        <w:rPr>
          <w:rFonts w:ascii="Times New Roman"/>
          <w:color w:val="000000" w:themeColor="text1"/>
          <w:sz w:val="24"/>
          <w:szCs w:val="24"/>
          <w14:textFill>
            <w14:solidFill>
              <w14:schemeClr w14:val="tx1"/>
            </w14:solidFill>
          </w14:textFill>
        </w:rPr>
        <w:t>年</w:t>
      </w:r>
      <w:r>
        <w:rPr>
          <w:rFonts w:hint="eastAsia" w:ascii="Times New Roman" w:hAnsi="Times New Roman"/>
          <w:color w:val="000000" w:themeColor="text1"/>
          <w:sz w:val="24"/>
          <w:szCs w:val="24"/>
          <w:lang w:val="en-US" w:eastAsia="zh-CN"/>
          <w14:textFill>
            <w14:solidFill>
              <w14:schemeClr w14:val="tx1"/>
            </w14:solidFill>
          </w14:textFill>
        </w:rPr>
        <w:t>11</w:t>
      </w:r>
      <w:r>
        <w:rPr>
          <w:rFonts w:ascii="Times New Roman"/>
          <w:color w:val="000000" w:themeColor="text1"/>
          <w:sz w:val="24"/>
          <w:szCs w:val="24"/>
          <w14:textFill>
            <w14:solidFill>
              <w14:schemeClr w14:val="tx1"/>
            </w14:solidFill>
          </w14:textFill>
        </w:rPr>
        <w:t>月召开第二次标准研讨会，邀请了相关行业的技术人员和检测机构的相关专家，对标准的文本内容及标准在制定中可能存在的问题进行了进一步的交流与沟通。</w:t>
      </w:r>
      <w:r>
        <w:rPr>
          <w:rFonts w:hint="eastAsia" w:ascii="Times New Roman"/>
          <w:color w:val="000000" w:themeColor="text1"/>
          <w:sz w:val="24"/>
          <w:szCs w:val="24"/>
          <w:lang w:val="en-US" w:eastAsia="zh-CN"/>
          <w14:textFill>
            <w14:solidFill>
              <w14:schemeClr w14:val="tx1"/>
            </w14:solidFill>
          </w14:textFill>
        </w:rPr>
        <w:t>对标准中的前处理方法进行了调整。</w:t>
      </w:r>
    </w:p>
    <w:p w14:paraId="6910BA0E">
      <w:pPr>
        <w:tabs>
          <w:tab w:val="left" w:pos="375"/>
          <w:tab w:val="left" w:pos="2692"/>
        </w:tabs>
        <w:spacing w:before="326" w:beforeLines="100" w:after="326" w:afterLines="100" w:line="360" w:lineRule="auto"/>
        <w:rPr>
          <w:rFonts w:ascii="黑体" w:hAnsi="Times New Roman" w:eastAsia="黑体"/>
          <w:b/>
          <w:sz w:val="24"/>
          <w:szCs w:val="24"/>
        </w:rPr>
      </w:pPr>
      <w:bookmarkStart w:id="12" w:name="_Toc37601250"/>
      <w:r>
        <w:rPr>
          <w:rFonts w:hint="eastAsia" w:ascii="黑体" w:hAnsi="Times New Roman" w:eastAsia="黑体"/>
          <w:b/>
          <w:sz w:val="24"/>
          <w:szCs w:val="24"/>
        </w:rPr>
        <w:t>1.2.5征求意见稿编制</w:t>
      </w:r>
      <w:bookmarkEnd w:id="12"/>
    </w:p>
    <w:p w14:paraId="41BE9290">
      <w:pPr>
        <w:spacing w:line="360" w:lineRule="auto"/>
        <w:ind w:firstLine="360" w:firstLineChars="150"/>
        <w:rPr>
          <w:rFonts w:asci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2024年12月～2025年8月：</w:t>
      </w:r>
      <w:r>
        <w:rPr>
          <w:rFonts w:hint="eastAsia" w:ascii="Times New Roman" w:hAnsi="Times New Roman"/>
          <w:color w:val="000000" w:themeColor="text1"/>
          <w:sz w:val="24"/>
          <w:szCs w:val="24"/>
          <w:lang w:val="en-US" w:eastAsia="zh-CN"/>
          <w14:textFill>
            <w14:solidFill>
              <w14:schemeClr w14:val="tx1"/>
            </w14:solidFill>
          </w14:textFill>
        </w:rPr>
        <w:t>重新</w:t>
      </w:r>
      <w:r>
        <w:rPr>
          <w:rFonts w:hint="eastAsia" w:ascii="Times New Roman" w:hAnsi="Times New Roman"/>
          <w:color w:val="000000" w:themeColor="text1"/>
          <w:sz w:val="24"/>
          <w:szCs w:val="24"/>
          <w14:textFill>
            <w14:solidFill>
              <w14:schemeClr w14:val="tx1"/>
            </w14:solidFill>
          </w14:textFill>
        </w:rPr>
        <w:t>收集样品补充试验，</w:t>
      </w:r>
      <w:r>
        <w:rPr>
          <w:rFonts w:ascii="Times New Roman"/>
          <w:color w:val="000000" w:themeColor="text1"/>
          <w:sz w:val="24"/>
          <w:szCs w:val="24"/>
          <w14:textFill>
            <w14:solidFill>
              <w14:schemeClr w14:val="tx1"/>
            </w14:solidFill>
          </w14:textFill>
        </w:rPr>
        <w:t>形成了最终的《</w:t>
      </w:r>
      <w:r>
        <w:rPr>
          <w:rFonts w:hint="eastAsia" w:ascii="Times New Roman"/>
          <w:color w:val="000000" w:themeColor="text1"/>
          <w:sz w:val="24"/>
          <w:szCs w:val="24"/>
          <w14:textFill>
            <w14:solidFill>
              <w14:schemeClr w14:val="tx1"/>
            </w14:solidFill>
          </w14:textFill>
        </w:rPr>
        <w:t>空气净化材料气味净化性能感官评价方法</w:t>
      </w:r>
      <w:r>
        <w:rPr>
          <w:rFonts w:ascii="Times New Roman"/>
          <w:color w:val="000000" w:themeColor="text1"/>
          <w:sz w:val="24"/>
          <w:szCs w:val="24"/>
          <w14:textFill>
            <w14:solidFill>
              <w14:schemeClr w14:val="tx1"/>
            </w14:solidFill>
          </w14:textFill>
        </w:rPr>
        <w:t>》（征求意见稿）以及编制说明。</w:t>
      </w:r>
    </w:p>
    <w:p w14:paraId="4709723B">
      <w:pPr>
        <w:tabs>
          <w:tab w:val="left" w:pos="375"/>
          <w:tab w:val="left" w:pos="2692"/>
        </w:tabs>
        <w:spacing w:before="326" w:beforeLines="100" w:after="326" w:afterLines="100" w:line="360" w:lineRule="auto"/>
        <w:rPr>
          <w:rFonts w:ascii="黑体" w:hAnsi="Times New Roman" w:eastAsia="黑体"/>
          <w:b/>
          <w:sz w:val="24"/>
          <w:szCs w:val="24"/>
        </w:rPr>
      </w:pPr>
      <w:r>
        <w:rPr>
          <w:rFonts w:hint="eastAsia" w:ascii="黑体" w:hAnsi="Times New Roman" w:eastAsia="黑体"/>
          <w:b/>
          <w:sz w:val="24"/>
          <w:szCs w:val="24"/>
        </w:rPr>
        <w:t>1.</w:t>
      </w:r>
      <w:r>
        <w:rPr>
          <w:rFonts w:ascii="黑体" w:hAnsi="Times New Roman" w:eastAsia="黑体"/>
          <w:b/>
          <w:sz w:val="24"/>
          <w:szCs w:val="24"/>
        </w:rPr>
        <w:t>3</w:t>
      </w:r>
      <w:r>
        <w:rPr>
          <w:rFonts w:hint="eastAsia" w:ascii="黑体" w:hAnsi="Times New Roman" w:eastAsia="黑体"/>
          <w:b/>
          <w:sz w:val="24"/>
          <w:szCs w:val="24"/>
        </w:rPr>
        <w:t>主要参加单位和标准编制组成员及其所做的工作</w:t>
      </w:r>
    </w:p>
    <w:p w14:paraId="50702C0E">
      <w:pPr>
        <w:spacing w:line="360" w:lineRule="auto"/>
        <w:rPr>
          <w:rFonts w:ascii="Times New Roman" w:hAnsi="Times New Roman"/>
          <w:sz w:val="24"/>
          <w:szCs w:val="24"/>
        </w:rPr>
      </w:pPr>
      <w:r>
        <w:rPr>
          <w:rFonts w:hint="eastAsia" w:ascii="Times New Roman" w:hAnsi="Times New Roman"/>
          <w:sz w:val="24"/>
          <w:szCs w:val="24"/>
        </w:rPr>
        <w:t>本标准的主要参编单位及其分工如下：</w:t>
      </w:r>
    </w:p>
    <w:p w14:paraId="7A570121">
      <w:pPr>
        <w:spacing w:line="360" w:lineRule="auto"/>
        <w:ind w:firstLine="360" w:firstLineChars="150"/>
        <w:rPr>
          <w:rFonts w:ascii="Times New Roman" w:hAnsi="Times New Roman"/>
          <w:sz w:val="24"/>
          <w:szCs w:val="24"/>
        </w:rPr>
      </w:pPr>
      <w:r>
        <w:rPr>
          <w:rFonts w:hint="eastAsia" w:ascii="Times New Roman" w:hAnsi="Times New Roman"/>
          <w:sz w:val="24"/>
          <w:szCs w:val="24"/>
        </w:rPr>
        <w:t>（1）中国国检测试控股集团股份有限公司：主要负责标准立项、标准讨论会组织及筹备、标准相关文献的收集标准文本的编写及修改、开展验证性实验等。</w:t>
      </w:r>
    </w:p>
    <w:p w14:paraId="76D34C57">
      <w:pPr>
        <w:spacing w:line="360" w:lineRule="auto"/>
        <w:ind w:firstLine="360" w:firstLineChars="150"/>
        <w:rPr>
          <w:rFonts w:ascii="Times New Roman" w:hAnsi="Times New Roman"/>
          <w:sz w:val="24"/>
          <w:szCs w:val="24"/>
        </w:rPr>
      </w:pPr>
      <w:r>
        <w:rPr>
          <w:rFonts w:hint="eastAsia" w:ascii="Times New Roman" w:hAnsi="Times New Roman"/>
          <w:sz w:val="24"/>
          <w:szCs w:val="24"/>
        </w:rPr>
        <w:t>（2）北京科技大学：主要负责技术支持，提供了大量国内外最新的科技查新咨讯。</w:t>
      </w:r>
    </w:p>
    <w:p w14:paraId="2324A177">
      <w:pPr>
        <w:spacing w:line="360" w:lineRule="auto"/>
        <w:ind w:firstLine="360" w:firstLineChars="150"/>
        <w:rPr>
          <w:rFonts w:hint="eastAsia" w:ascii="Times New Roman" w:hAnsi="Times New Roman"/>
          <w:sz w:val="24"/>
          <w:szCs w:val="24"/>
        </w:rPr>
      </w:pPr>
      <w:r>
        <w:rPr>
          <w:rFonts w:hint="eastAsia" w:ascii="Times New Roman" w:hAnsi="Times New Roman"/>
          <w:sz w:val="24"/>
          <w:szCs w:val="24"/>
        </w:rPr>
        <w:t>（3）北京市科学技术研究院城市安全与环境科学研究所：主要负责仪器设备方面技术支持。</w:t>
      </w:r>
    </w:p>
    <w:p w14:paraId="486AEC6F">
      <w:pPr>
        <w:widowControl/>
        <w:kinsoku w:val="0"/>
        <w:overflowPunct w:val="0"/>
        <w:spacing w:line="360" w:lineRule="auto"/>
        <w:ind w:firstLine="480"/>
        <w:textAlignment w:val="baseline"/>
        <w:rPr>
          <w:rFonts w:hint="eastAsia" w:ascii="Times New Roman" w:hAnsi="Times New Roman"/>
          <w:sz w:val="24"/>
          <w:szCs w:val="24"/>
        </w:rPr>
      </w:pPr>
      <w:r>
        <w:rPr>
          <w:rFonts w:hint="eastAsia" w:ascii="Times New Roman" w:hAnsi="Times New Roman"/>
          <w:sz w:val="24"/>
          <w:szCs w:val="24"/>
        </w:rPr>
        <w:t>（4）北京为康环保科技有限公司</w:t>
      </w:r>
      <w:r>
        <w:rPr>
          <w:rFonts w:hint="eastAsia" w:ascii="Times New Roman" w:hAnsi="Times New Roman"/>
          <w:sz w:val="24"/>
          <w:szCs w:val="24"/>
          <w:lang w:eastAsia="zh-CN"/>
        </w:rPr>
        <w:t>：提供验证试验样品，负责对标准文本的技术内容进行审核并提供相关专业意见。</w:t>
      </w:r>
    </w:p>
    <w:p w14:paraId="4F530F72">
      <w:pPr>
        <w:widowControl/>
        <w:kinsoku w:val="0"/>
        <w:overflowPunct w:val="0"/>
        <w:spacing w:line="360" w:lineRule="auto"/>
        <w:ind w:firstLine="480"/>
        <w:textAlignment w:val="baseline"/>
        <w:rPr>
          <w:rFonts w:ascii="Times New Roman" w:hAnsi="Times New Roman"/>
          <w:bCs/>
          <w:kern w:val="24"/>
          <w:sz w:val="24"/>
          <w:szCs w:val="32"/>
        </w:rPr>
      </w:pPr>
      <w:r>
        <w:rPr>
          <w:rFonts w:hint="eastAsia" w:ascii="Times New Roman" w:hAnsi="Times New Roman"/>
          <w:sz w:val="24"/>
          <w:szCs w:val="24"/>
        </w:rPr>
        <w:t>（</w:t>
      </w:r>
      <w:r>
        <w:rPr>
          <w:rFonts w:hint="eastAsia" w:ascii="Times New Roman" w:hAnsi="Times New Roman"/>
          <w:sz w:val="24"/>
          <w:szCs w:val="24"/>
          <w:lang w:val="en-US" w:eastAsia="zh-CN"/>
        </w:rPr>
        <w:t>5</w:t>
      </w:r>
      <w:r>
        <w:rPr>
          <w:rFonts w:hint="eastAsia" w:ascii="Times New Roman" w:hAnsi="Times New Roman"/>
          <w:sz w:val="24"/>
          <w:szCs w:val="24"/>
        </w:rPr>
        <w:t>）</w:t>
      </w:r>
      <w:r>
        <w:rPr>
          <w:rFonts w:ascii="Times New Roman" w:hAnsi="Times New Roman"/>
          <w:bCs/>
          <w:kern w:val="24"/>
          <w:sz w:val="24"/>
          <w:szCs w:val="32"/>
        </w:rPr>
        <w:t>另外，本工作还得到了业内许多其他单位的积极响应和大力支持，进一步保障了标准工作组的技术实力。以上来自不同行业和领域的单位分别从不同角度为本标准的制定提供了强大的软、硬件支撑，为顺利完成标准制定工作奠定了基础条件。</w:t>
      </w:r>
    </w:p>
    <w:p w14:paraId="4084719D">
      <w:pPr>
        <w:spacing w:line="360" w:lineRule="auto"/>
        <w:ind w:firstLine="360" w:firstLineChars="150"/>
        <w:rPr>
          <w:rFonts w:ascii="Times New Roman" w:hAnsi="Times New Roman"/>
          <w:sz w:val="24"/>
          <w:szCs w:val="24"/>
        </w:rPr>
      </w:pPr>
    </w:p>
    <w:p w14:paraId="34076EC6">
      <w:pPr>
        <w:pStyle w:val="2"/>
        <w:spacing w:before="326" w:beforeLines="100" w:after="163" w:afterLines="50" w:line="360" w:lineRule="auto"/>
        <w:rPr>
          <w:rFonts w:ascii="Times New Roman" w:hAnsi="Times New Roman"/>
          <w:sz w:val="28"/>
          <w:szCs w:val="24"/>
        </w:rPr>
      </w:pPr>
      <w:bookmarkStart w:id="13" w:name="_Toc37604925"/>
      <w:r>
        <w:rPr>
          <w:rFonts w:ascii="Times New Roman" w:hAnsi="Times New Roman"/>
          <w:sz w:val="28"/>
          <w:szCs w:val="24"/>
        </w:rPr>
        <w:t>2. 标准编制原则和主要内容</w:t>
      </w:r>
      <w:r>
        <w:rPr>
          <w:rFonts w:hint="eastAsia" w:ascii="Times New Roman" w:hAnsi="Times New Roman"/>
          <w:sz w:val="28"/>
          <w:szCs w:val="24"/>
        </w:rPr>
        <w:t>的</w:t>
      </w:r>
      <w:r>
        <w:rPr>
          <w:rFonts w:ascii="Times New Roman" w:hAnsi="Times New Roman"/>
          <w:sz w:val="28"/>
          <w:szCs w:val="24"/>
        </w:rPr>
        <w:t>说明</w:t>
      </w:r>
      <w:bookmarkEnd w:id="13"/>
    </w:p>
    <w:p w14:paraId="1C317A7F">
      <w:pPr>
        <w:tabs>
          <w:tab w:val="left" w:pos="375"/>
          <w:tab w:val="left" w:pos="2692"/>
        </w:tabs>
        <w:spacing w:before="326" w:beforeLines="100" w:after="326" w:afterLines="100" w:line="360" w:lineRule="auto"/>
        <w:outlineLvl w:val="0"/>
        <w:rPr>
          <w:rFonts w:ascii="黑体" w:hAnsi="Times New Roman" w:eastAsia="黑体"/>
          <w:b/>
          <w:sz w:val="24"/>
          <w:szCs w:val="24"/>
        </w:rPr>
      </w:pPr>
      <w:bookmarkStart w:id="14" w:name="_Toc37601252"/>
      <w:bookmarkStart w:id="15" w:name="_Toc37604926"/>
      <w:r>
        <w:rPr>
          <w:rFonts w:ascii="黑体" w:hAnsi="Times New Roman" w:eastAsia="黑体"/>
          <w:b/>
          <w:sz w:val="24"/>
          <w:szCs w:val="24"/>
        </w:rPr>
        <w:t>2.1 标准编制的基本原则</w:t>
      </w:r>
      <w:bookmarkEnd w:id="14"/>
      <w:bookmarkEnd w:id="15"/>
    </w:p>
    <w:p w14:paraId="31352870">
      <w:pPr>
        <w:spacing w:line="360" w:lineRule="auto"/>
        <w:ind w:firstLine="480" w:firstLineChars="200"/>
        <w:rPr>
          <w:rFonts w:ascii="Times New Roman"/>
          <w:sz w:val="24"/>
          <w:szCs w:val="24"/>
        </w:rPr>
      </w:pPr>
      <w:r>
        <w:rPr>
          <w:rFonts w:ascii="Times New Roman"/>
          <w:sz w:val="24"/>
          <w:szCs w:val="24"/>
        </w:rPr>
        <w:t>先进性：方法</w:t>
      </w:r>
      <w:r>
        <w:rPr>
          <w:rFonts w:hint="eastAsia" w:ascii="Times New Roman"/>
          <w:sz w:val="24"/>
          <w:szCs w:val="24"/>
        </w:rPr>
        <w:t>补充了目前建材</w:t>
      </w:r>
      <w:r>
        <w:rPr>
          <w:rFonts w:ascii="Times New Roman"/>
          <w:sz w:val="24"/>
          <w:szCs w:val="24"/>
        </w:rPr>
        <w:t>领域</w:t>
      </w:r>
      <w:r>
        <w:rPr>
          <w:rFonts w:hint="eastAsia" w:ascii="Times New Roman"/>
          <w:sz w:val="24"/>
          <w:szCs w:val="24"/>
        </w:rPr>
        <w:t>室内</w:t>
      </w:r>
      <w:r>
        <w:rPr>
          <w:rFonts w:hint="eastAsia" w:ascii="Times New Roman"/>
          <w:sz w:val="24"/>
          <w:szCs w:val="24"/>
          <w:lang w:val="en-US" w:eastAsia="zh-CN"/>
        </w:rPr>
        <w:t>空气净化</w:t>
      </w:r>
      <w:r>
        <w:rPr>
          <w:rFonts w:hint="eastAsia" w:ascii="Times New Roman"/>
          <w:sz w:val="24"/>
          <w:szCs w:val="24"/>
        </w:rPr>
        <w:t>材料</w:t>
      </w:r>
      <w:r>
        <w:rPr>
          <w:rFonts w:hint="eastAsia" w:ascii="Times New Roman"/>
          <w:sz w:val="24"/>
          <w:szCs w:val="24"/>
          <w:lang w:val="en-US" w:eastAsia="zh-CN"/>
        </w:rPr>
        <w:t>的</w:t>
      </w:r>
      <w:r>
        <w:rPr>
          <w:rFonts w:hint="eastAsia" w:ascii="Times New Roman"/>
          <w:sz w:val="24"/>
          <w:szCs w:val="24"/>
        </w:rPr>
        <w:t>气味</w:t>
      </w:r>
      <w:r>
        <w:rPr>
          <w:rFonts w:hint="eastAsia" w:ascii="Times New Roman"/>
          <w:sz w:val="24"/>
          <w:szCs w:val="24"/>
          <w:lang w:val="en-US" w:eastAsia="zh-CN"/>
        </w:rPr>
        <w:t>感官</w:t>
      </w:r>
      <w:r>
        <w:rPr>
          <w:rFonts w:hint="eastAsia" w:ascii="Times New Roman"/>
          <w:sz w:val="24"/>
          <w:szCs w:val="24"/>
        </w:rPr>
        <w:t>评价方法</w:t>
      </w:r>
      <w:r>
        <w:rPr>
          <w:rFonts w:ascii="Times New Roman"/>
          <w:sz w:val="24"/>
          <w:szCs w:val="24"/>
        </w:rPr>
        <w:t>的缺失</w:t>
      </w:r>
      <w:r>
        <w:rPr>
          <w:rFonts w:hint="eastAsia" w:ascii="Times New Roman"/>
          <w:sz w:val="24"/>
          <w:szCs w:val="24"/>
        </w:rPr>
        <w:t>。</w:t>
      </w:r>
    </w:p>
    <w:p w14:paraId="5F5D2368">
      <w:pPr>
        <w:spacing w:line="360" w:lineRule="auto"/>
        <w:ind w:firstLine="480" w:firstLineChars="200"/>
        <w:rPr>
          <w:rFonts w:ascii="Times New Roman" w:hAnsi="Times New Roman"/>
          <w:sz w:val="24"/>
          <w:szCs w:val="24"/>
        </w:rPr>
      </w:pPr>
      <w:r>
        <w:rPr>
          <w:rFonts w:ascii="Times New Roman"/>
          <w:sz w:val="24"/>
          <w:szCs w:val="24"/>
        </w:rPr>
        <w:t>操作性：方法符合我国目前检测设备仪器和试剂、材料的供应条件。</w:t>
      </w:r>
    </w:p>
    <w:p w14:paraId="13243B01">
      <w:pPr>
        <w:spacing w:line="360" w:lineRule="auto"/>
        <w:ind w:firstLine="480" w:firstLineChars="200"/>
        <w:rPr>
          <w:rFonts w:ascii="Times New Roman" w:hAnsi="Times New Roman"/>
          <w:sz w:val="24"/>
          <w:szCs w:val="24"/>
        </w:rPr>
      </w:pPr>
      <w:r>
        <w:rPr>
          <w:rFonts w:ascii="Times New Roman"/>
          <w:sz w:val="24"/>
          <w:szCs w:val="24"/>
        </w:rPr>
        <w:t>适用性：方法</w:t>
      </w:r>
      <w:r>
        <w:rPr>
          <w:rFonts w:ascii="Times New Roman"/>
          <w:color w:val="000000"/>
          <w:sz w:val="24"/>
          <w:szCs w:val="24"/>
        </w:rPr>
        <w:t>测试过程可操作性强，</w:t>
      </w:r>
      <w:r>
        <w:rPr>
          <w:rFonts w:ascii="Times New Roman"/>
          <w:sz w:val="24"/>
          <w:szCs w:val="24"/>
        </w:rPr>
        <w:t>能被国内分析实验室所使用并达到所规定的要求，具有普遍适用性，易于推广使用。</w:t>
      </w:r>
    </w:p>
    <w:p w14:paraId="6FF85041">
      <w:pPr>
        <w:tabs>
          <w:tab w:val="left" w:pos="375"/>
          <w:tab w:val="left" w:pos="2692"/>
        </w:tabs>
        <w:spacing w:before="326" w:beforeLines="100" w:after="326" w:afterLines="100" w:line="360" w:lineRule="auto"/>
        <w:outlineLvl w:val="1"/>
        <w:rPr>
          <w:rFonts w:ascii="黑体" w:hAnsi="Times New Roman" w:eastAsia="黑体"/>
          <w:b/>
          <w:sz w:val="24"/>
          <w:szCs w:val="24"/>
        </w:rPr>
      </w:pPr>
      <w:bookmarkStart w:id="16" w:name="_Toc37601253"/>
      <w:bookmarkStart w:id="17" w:name="_Toc37604927"/>
      <w:r>
        <w:rPr>
          <w:rFonts w:ascii="黑体" w:hAnsi="Times New Roman" w:eastAsia="黑体"/>
          <w:b/>
          <w:sz w:val="24"/>
          <w:szCs w:val="24"/>
        </w:rPr>
        <w:t>2.2标准制订的背景及技术路线</w:t>
      </w:r>
      <w:bookmarkEnd w:id="16"/>
      <w:bookmarkEnd w:id="17"/>
    </w:p>
    <w:p w14:paraId="242BC4FA">
      <w:pPr>
        <w:tabs>
          <w:tab w:val="left" w:pos="2692"/>
        </w:tabs>
        <w:spacing w:before="326" w:beforeLines="100" w:after="326" w:afterLines="100" w:line="360" w:lineRule="auto"/>
        <w:outlineLvl w:val="2"/>
        <w:rPr>
          <w:rFonts w:ascii="黑体" w:hAnsi="Times New Roman" w:eastAsia="黑体"/>
          <w:b/>
          <w:sz w:val="24"/>
          <w:szCs w:val="24"/>
        </w:rPr>
      </w:pPr>
      <w:bookmarkStart w:id="18" w:name="_Toc37604928"/>
      <w:bookmarkStart w:id="19" w:name="_Toc37601254"/>
      <w:r>
        <w:rPr>
          <w:rFonts w:ascii="黑体" w:hAnsi="Times New Roman" w:eastAsia="黑体"/>
          <w:b/>
          <w:sz w:val="24"/>
          <w:szCs w:val="24"/>
        </w:rPr>
        <w:t>2.2.1标准制定的背景</w:t>
      </w:r>
      <w:bookmarkEnd w:id="18"/>
      <w:bookmarkEnd w:id="19"/>
    </w:p>
    <w:p w14:paraId="3DBAFFB8">
      <w:pPr>
        <w:spacing w:line="360" w:lineRule="auto"/>
        <w:ind w:firstLine="420"/>
        <w:rPr>
          <w:rFonts w:hint="eastAsia" w:ascii="Times New Roman" w:hAnsiTheme="minorEastAsia"/>
          <w:kern w:val="0"/>
          <w:sz w:val="24"/>
          <w:szCs w:val="24"/>
        </w:rPr>
      </w:pPr>
      <w:r>
        <w:rPr>
          <w:rFonts w:hint="eastAsia" w:ascii="Times New Roman" w:hAnsiTheme="minorEastAsia"/>
          <w:kern w:val="0"/>
          <w:sz w:val="24"/>
          <w:szCs w:val="24"/>
        </w:rPr>
        <w:t>空气净化材料是指具有除醛、除VOC、除氨、净味/除味等功能的装置、设备或功能性产品，其应用范围涵盖家庭、办公场所、公共场所等多个领域。随着现代居民环保意识的逐渐增强，近年来室内空气中异味问题已经成为人们关注的重要问题。国家标准GB/T 18883-2022中明确提出室内空气应当无异常嗅味。室内异味问题主要来源于装修过程中使用的各种建材产品，因此空气净化材料在市场上的需求量越来越大，但市场上的产品质量良莠不齐，很多产品宣称的除味、净味效果难以令人满意，如何挑选出优质有效的净味材料成为了消费者面临的难题。</w:t>
      </w:r>
    </w:p>
    <w:p w14:paraId="45306101">
      <w:pPr>
        <w:spacing w:line="360" w:lineRule="auto"/>
        <w:ind w:firstLine="420"/>
        <w:rPr>
          <w:rFonts w:hint="eastAsia" w:ascii="Times New Roman" w:hAnsiTheme="minorEastAsia"/>
          <w:kern w:val="0"/>
          <w:sz w:val="24"/>
          <w:szCs w:val="24"/>
        </w:rPr>
      </w:pPr>
      <w:r>
        <w:rPr>
          <w:rFonts w:hint="eastAsia" w:ascii="Times New Roman" w:hAnsiTheme="minorEastAsia"/>
          <w:kern w:val="0"/>
          <w:sz w:val="24"/>
          <w:szCs w:val="24"/>
        </w:rPr>
        <w:t xml:space="preserve">目前我国针对空气净化材料的净味性能评价方法主要集中在材料对目标化学物质的净化效果方面，如GB/T 18801-2015《空气净化器》通过测试空气净化器对于颗粒物、微生物、化学污染物的净化效果来评估性能。GB 21551.6-2010《家用和类似用途电器的抗菌、除菌、净化功能.空调器的特殊要求》中对于净化性能的评价主要通过评估其对甲醛、氨气、苯的净化效率来评价。对于净味涂料、空气除味剂等产品目前我国并没有相关的针对其净味性能评价的标准方法，大多数都是企业自己形成的企业标准。对于空气净化材料的净味性能，国外也形成了相关的标准，如欧盟的EN 16846:2017《光催化技术 用于消除室内空气中挥发性有机化合物和气味的光催化装置的效率测量 封闭室内批量测试方法》，该标准规定了空气净化器的性能测试方法和评价标准，其中包括了对净化器性能的物理、化学和生物指标进行测试的方法。日本的JEM 1467-2015《家庭用空气净化器》中选择氨气、乙醛、乙酸作为目标污染物以考察净化器的净化性能。国际标准化组织ISO 16000-44:202《室内空气.第44部分:气相空气净化器性能试验用室内空气质量测量方法》中规定了对于空气净化器净化性能的感官评价方法，主要考察净化器开启前后环境测试舱中空气的气味强度和可接受度的变化。但是目前国内仍然没有关于空气净化材料净味性能的感官评价方法。化学污染物的去除并不能表示异味的去除，原因主要有两点：1、室内空气气味物质种类较多，仅通过几种化合物的去除率并不能说明空气净化材料异味的去除效果。2、化学浓度的降低与异味刺激的降低并不是线性相关，相关研究者研究表明一般化学浓度下降90%，异味刺激仅能下降50%。 </w:t>
      </w:r>
    </w:p>
    <w:p w14:paraId="1C2FFAA6">
      <w:pPr>
        <w:spacing w:line="360" w:lineRule="auto"/>
        <w:ind w:firstLine="420"/>
        <w:rPr>
          <w:rFonts w:ascii="Times New Roman" w:hAnsi="Times New Roman"/>
          <w:kern w:val="0"/>
          <w:sz w:val="24"/>
          <w:szCs w:val="24"/>
        </w:rPr>
      </w:pPr>
      <w:r>
        <w:rPr>
          <w:rFonts w:hint="eastAsia" w:ascii="Times New Roman" w:hAnsiTheme="minorEastAsia"/>
          <w:kern w:val="0"/>
          <w:sz w:val="24"/>
          <w:szCs w:val="24"/>
        </w:rPr>
        <w:t>建立《空气净化材料气味净化性能感官评价方法》具有重要的意义，主要体现在以下两个方面：（1）可以提高空气净化材料的产品品质。空气净化材料的除味效果是衡量产品品质的最重要指标之一，通过对空气净化材料进行感官评价，可以对其除味效果进行科学、客观的评估，逐渐淘汰低性能或无性能的产品，从而提高市场上相关产品的产品品质，推动整个行业的发展。（2）保障消费者的权益。感官评价可以客观评估空气净化材料的除味性能，为消费者选择优质空气净化材料/产品提供依据，避免因选购质量差的空气净化材料而导致室内异味难以解决的情况，从而保障消费者的权益。在该标准中，将对空气净化材料的气味净化性能感官评价方法的方法原理、测试装置、测试条件、试样制备、测试步骤、结果计算、实验报告等进行规定。</w:t>
      </w:r>
    </w:p>
    <w:p w14:paraId="77AF77FC">
      <w:pPr>
        <w:tabs>
          <w:tab w:val="left" w:pos="2692"/>
        </w:tabs>
        <w:spacing w:before="326" w:beforeLines="100" w:after="326" w:afterLines="100" w:line="360" w:lineRule="auto"/>
        <w:outlineLvl w:val="2"/>
        <w:rPr>
          <w:rFonts w:ascii="黑体" w:hAnsi="Times New Roman" w:eastAsia="黑体"/>
          <w:b/>
          <w:sz w:val="24"/>
          <w:szCs w:val="24"/>
        </w:rPr>
      </w:pPr>
      <w:bookmarkStart w:id="20" w:name="_Toc37601255"/>
      <w:bookmarkStart w:id="21" w:name="_Toc37604929"/>
      <w:r>
        <w:rPr>
          <w:rFonts w:ascii="黑体" w:hAnsi="Times New Roman" w:eastAsia="黑体"/>
          <w:b/>
          <w:sz w:val="24"/>
          <w:szCs w:val="24"/>
        </w:rPr>
        <w:t>2.2.2 技术路线</w:t>
      </w:r>
      <w:bookmarkEnd w:id="20"/>
      <w:bookmarkEnd w:id="21"/>
    </w:p>
    <w:p w14:paraId="219AFBE7">
      <w:pPr>
        <w:spacing w:line="360" w:lineRule="auto"/>
        <w:ind w:firstLine="480" w:firstLineChars="200"/>
        <w:rPr>
          <w:rFonts w:ascii="Times New Roman" w:hAnsi="Times New Roman"/>
          <w:sz w:val="24"/>
          <w:szCs w:val="24"/>
        </w:rPr>
      </w:pPr>
      <w:r>
        <w:rPr>
          <w:rFonts w:ascii="Times New Roman"/>
          <w:sz w:val="24"/>
          <w:szCs w:val="24"/>
        </w:rPr>
        <w:t>本标准按下述技术路线图</w:t>
      </w:r>
      <w:r>
        <w:rPr>
          <w:rFonts w:ascii="Times New Roman" w:hAnsi="Times New Roman"/>
          <w:sz w:val="24"/>
          <w:szCs w:val="24"/>
        </w:rPr>
        <w:t>1</w:t>
      </w:r>
      <w:r>
        <w:rPr>
          <w:rFonts w:ascii="Times New Roman"/>
          <w:sz w:val="24"/>
          <w:szCs w:val="24"/>
        </w:rPr>
        <w:t>进行。</w:t>
      </w:r>
    </w:p>
    <w:p w14:paraId="51BEA269">
      <w:pPr>
        <w:spacing w:line="360" w:lineRule="auto"/>
        <w:jc w:val="center"/>
        <w:rPr>
          <w:rFonts w:ascii="Times New Roman" w:hAnsi="Times New Roman"/>
        </w:rPr>
      </w:pPr>
      <w:r>
        <w:rPr>
          <w:rFonts w:ascii="Times New Roman" w:hAnsi="Times New Roman"/>
        </w:rPr>
        <w:drawing>
          <wp:inline distT="0" distB="0" distL="0" distR="0">
            <wp:extent cx="6195060" cy="4173855"/>
            <wp:effectExtent l="0" t="0" r="0" b="0"/>
            <wp:docPr id="2" name="图片 2" descr="C:\Users\pyp\AppData\Local\Microsoft\Windows\INetCache\Content.Word\技术路线作图P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pyp\AppData\Local\Microsoft\Windows\INetCache\Content.Word\技术路线作图PPT.JPG"/>
                    <pic:cNvPicPr>
                      <a:picLocks noChangeAspect="1" noChangeArrowheads="1"/>
                    </pic:cNvPicPr>
                  </pic:nvPicPr>
                  <pic:blipFill>
                    <a:blip r:embed="rId5">
                      <a:extLst>
                        <a:ext uri="{28A0092B-C50C-407E-A947-70E740481C1C}">
                          <a14:useLocalDpi xmlns:a14="http://schemas.microsoft.com/office/drawing/2010/main" val="0"/>
                        </a:ext>
                      </a:extLst>
                    </a:blip>
                    <a:srcRect b="61821"/>
                    <a:stretch>
                      <a:fillRect/>
                    </a:stretch>
                  </pic:blipFill>
                  <pic:spPr>
                    <a:xfrm>
                      <a:off x="0" y="0"/>
                      <a:ext cx="6228313" cy="4196842"/>
                    </a:xfrm>
                    <a:prstGeom prst="rect">
                      <a:avLst/>
                    </a:prstGeom>
                    <a:noFill/>
                    <a:ln>
                      <a:noFill/>
                    </a:ln>
                  </pic:spPr>
                </pic:pic>
              </a:graphicData>
            </a:graphic>
          </wp:inline>
        </w:drawing>
      </w:r>
    </w:p>
    <w:p w14:paraId="196979A7">
      <w:pPr>
        <w:spacing w:line="360" w:lineRule="auto"/>
        <w:jc w:val="center"/>
        <w:rPr>
          <w:rFonts w:ascii="Times New Roman" w:hAnsi="Times New Roman"/>
        </w:rPr>
      </w:pPr>
      <w:r>
        <w:rPr>
          <w:rFonts w:ascii="Times New Roman"/>
        </w:rPr>
        <w:t>图</w:t>
      </w:r>
      <w:r>
        <w:rPr>
          <w:rFonts w:ascii="Times New Roman" w:hAnsi="Times New Roman"/>
        </w:rPr>
        <w:fldChar w:fldCharType="begin"/>
      </w:r>
      <w:r>
        <w:rPr>
          <w:rFonts w:ascii="Times New Roman" w:hAnsi="Times New Roman"/>
        </w:rPr>
        <w:instrText xml:space="preserve"> SEQ </w:instrText>
      </w:r>
      <w:r>
        <w:rPr>
          <w:rFonts w:ascii="Times New Roman"/>
        </w:rPr>
        <w:instrText xml:space="preserve">图表</w:instrText>
      </w:r>
      <w:r>
        <w:rPr>
          <w:rFonts w:ascii="Times New Roman" w:hAnsi="Times New Roman"/>
        </w:rPr>
        <w:instrText xml:space="preserv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rPr>
        <w:t>技术路线图</w:t>
      </w:r>
    </w:p>
    <w:p w14:paraId="7E6CB788">
      <w:pPr>
        <w:tabs>
          <w:tab w:val="left" w:pos="375"/>
          <w:tab w:val="left" w:pos="2692"/>
        </w:tabs>
        <w:spacing w:before="326" w:beforeLines="100" w:after="326" w:afterLines="100" w:line="360" w:lineRule="auto"/>
        <w:outlineLvl w:val="1"/>
        <w:rPr>
          <w:rFonts w:ascii="黑体" w:hAnsi="Times New Roman" w:eastAsia="黑体"/>
          <w:b/>
          <w:sz w:val="24"/>
          <w:szCs w:val="24"/>
        </w:rPr>
      </w:pPr>
      <w:bookmarkStart w:id="22" w:name="_Toc37604930"/>
      <w:bookmarkStart w:id="23" w:name="_Toc37601256"/>
      <w:r>
        <w:rPr>
          <w:rFonts w:ascii="黑体" w:hAnsi="Times New Roman" w:eastAsia="黑体"/>
          <w:b/>
          <w:sz w:val="24"/>
          <w:szCs w:val="24"/>
        </w:rPr>
        <w:t>2.3 标准的技术内容</w:t>
      </w:r>
      <w:bookmarkEnd w:id="22"/>
      <w:bookmarkEnd w:id="23"/>
    </w:p>
    <w:p w14:paraId="2BC9E1A1">
      <w:pPr>
        <w:tabs>
          <w:tab w:val="left" w:pos="2692"/>
        </w:tabs>
        <w:spacing w:before="326" w:beforeLines="100" w:after="326" w:afterLines="100" w:line="360" w:lineRule="auto"/>
        <w:outlineLvl w:val="2"/>
        <w:rPr>
          <w:rFonts w:ascii="黑体" w:hAnsi="Times New Roman" w:eastAsia="黑体"/>
          <w:b/>
          <w:sz w:val="24"/>
          <w:szCs w:val="24"/>
        </w:rPr>
      </w:pPr>
      <w:bookmarkStart w:id="24" w:name="_Toc37601257"/>
      <w:bookmarkStart w:id="25" w:name="_Toc37604931"/>
      <w:r>
        <w:rPr>
          <w:rFonts w:ascii="黑体" w:hAnsi="Times New Roman" w:eastAsia="黑体"/>
          <w:b/>
          <w:sz w:val="24"/>
          <w:szCs w:val="24"/>
        </w:rPr>
        <w:t>2.3.1 检验项目的设置</w:t>
      </w:r>
      <w:bookmarkEnd w:id="24"/>
      <w:bookmarkEnd w:id="25"/>
    </w:p>
    <w:p w14:paraId="0909EEC9">
      <w:pPr>
        <w:spacing w:line="360" w:lineRule="auto"/>
        <w:ind w:firstLine="482" w:firstLineChars="200"/>
        <w:rPr>
          <w:rFonts w:hint="default" w:ascii="Times New Roman" w:eastAsia="宋体"/>
          <w:b/>
          <w:bCs/>
          <w:color w:val="000000"/>
          <w:sz w:val="24"/>
          <w:szCs w:val="24"/>
          <w:lang w:val="en-US" w:eastAsia="zh-CN"/>
        </w:rPr>
      </w:pPr>
      <w:r>
        <w:rPr>
          <w:rFonts w:hint="eastAsia" w:ascii="Times New Roman"/>
          <w:b/>
          <w:bCs/>
          <w:color w:val="000000"/>
          <w:sz w:val="24"/>
          <w:szCs w:val="24"/>
          <w:lang w:val="en-US" w:eastAsia="zh-CN"/>
        </w:rPr>
        <w:t>（1）指标设置</w:t>
      </w:r>
    </w:p>
    <w:p w14:paraId="69C82921">
      <w:pPr>
        <w:spacing w:line="360" w:lineRule="auto"/>
        <w:ind w:firstLine="482" w:firstLineChars="200"/>
        <w:rPr>
          <w:rFonts w:hint="eastAsia" w:ascii="Times New Roman"/>
          <w:color w:val="000000"/>
          <w:sz w:val="24"/>
          <w:szCs w:val="24"/>
        </w:rPr>
      </w:pPr>
      <w:r>
        <w:rPr>
          <w:rFonts w:hint="eastAsia" w:ascii="Times New Roman"/>
          <w:b/>
          <w:bCs/>
          <w:color w:val="000000"/>
          <w:sz w:val="24"/>
          <w:szCs w:val="24"/>
        </w:rPr>
        <w:t>气味强度</w:t>
      </w:r>
      <w:r>
        <w:rPr>
          <w:rFonts w:hint="eastAsia" w:ascii="Times New Roman"/>
          <w:color w:val="000000"/>
          <w:sz w:val="24"/>
          <w:szCs w:val="24"/>
        </w:rPr>
        <w:t>是指气味对嗅觉造成刺激的强烈程度，以“级”为计量单位，由经训练的气味评价小组对</w:t>
      </w:r>
      <w:r>
        <w:rPr>
          <w:rFonts w:hint="eastAsia" w:ascii="Times New Roman"/>
          <w:color w:val="000000"/>
          <w:sz w:val="24"/>
          <w:szCs w:val="24"/>
          <w:lang w:val="en-US" w:eastAsia="zh-CN"/>
        </w:rPr>
        <w:t>采集的气味</w:t>
      </w:r>
      <w:r>
        <w:rPr>
          <w:rFonts w:hint="eastAsia" w:ascii="Times New Roman"/>
          <w:color w:val="000000"/>
          <w:sz w:val="24"/>
          <w:szCs w:val="24"/>
        </w:rPr>
        <w:t>样本进行分级打分得到。标准采用“阶段法（category scale）”</w:t>
      </w:r>
      <w:r>
        <w:rPr>
          <w:rFonts w:hint="eastAsia" w:ascii="Times New Roman"/>
          <w:color w:val="000000"/>
          <w:sz w:val="24"/>
          <w:szCs w:val="24"/>
          <w:lang w:val="en-US" w:eastAsia="zh-CN"/>
        </w:rPr>
        <w:t>开展评价工作</w:t>
      </w:r>
      <w:r>
        <w:rPr>
          <w:rFonts w:hint="eastAsia" w:ascii="Times New Roman"/>
          <w:color w:val="000000"/>
          <w:sz w:val="24"/>
          <w:szCs w:val="24"/>
        </w:rPr>
        <w:t>，计算采用参比舱与样品舱的强度差值：</w:t>
      </w:r>
    </w:p>
    <w:p w14:paraId="0B0F916D">
      <w:pPr>
        <w:spacing w:line="360" w:lineRule="auto"/>
        <w:ind w:firstLine="480" w:firstLineChars="200"/>
        <w:rPr>
          <w:rFonts w:hint="eastAsia" w:ascii="Times New Roman"/>
          <w:color w:val="000000"/>
          <w:sz w:val="24"/>
          <w:szCs w:val="24"/>
        </w:rPr>
      </w:pPr>
      <m:oMathPara>
        <m:oMath>
          <m:r>
            <m:rPr>
              <m:sty m:val="p"/>
            </m:rPr>
            <w:rPr>
              <w:rFonts w:ascii="Cambria Math" w:hAnsi="Cambria Math"/>
              <w:color w:val="000000"/>
              <w:sz w:val="24"/>
              <w:szCs w:val="24"/>
            </w:rPr>
            <m:t>∆</m:t>
          </m:r>
          <m:r>
            <m:rPr>
              <m:sty m:val="p"/>
            </m:rPr>
            <w:rPr>
              <w:rFonts w:hint="default" w:ascii="Cambria Math" w:hAnsi="Cambria Math"/>
              <w:color w:val="000000"/>
              <w:sz w:val="24"/>
              <w:szCs w:val="24"/>
              <w:lang w:val="en-US" w:eastAsia="zh-CN"/>
            </w:rPr>
            <m:t>OI=</m:t>
          </m:r>
          <m:sSub>
            <m:sSubPr>
              <m:ctrlPr>
                <w:rPr>
                  <w:rFonts w:hint="default" w:ascii="Cambria Math" w:hAnsi="Cambria Math"/>
                  <w:color w:val="000000"/>
                  <w:sz w:val="24"/>
                  <w:szCs w:val="24"/>
                  <w:lang w:val="en-US" w:eastAsia="zh-CN"/>
                </w:rPr>
              </m:ctrlPr>
            </m:sSubPr>
            <m:e>
              <m:r>
                <m:rPr>
                  <m:sty m:val="p"/>
                </m:rPr>
                <w:rPr>
                  <w:rFonts w:hint="default" w:ascii="Cambria Math" w:hAnsi="Cambria Math"/>
                  <w:color w:val="000000"/>
                  <w:sz w:val="24"/>
                  <w:szCs w:val="24"/>
                  <w:lang w:val="en-US" w:eastAsia="zh-CN"/>
                </w:rPr>
                <m:t>OI</m:t>
              </m:r>
              <m:ctrlPr>
                <w:rPr>
                  <w:rFonts w:hint="default" w:ascii="Cambria Math" w:hAnsi="Cambria Math"/>
                  <w:color w:val="000000"/>
                  <w:sz w:val="24"/>
                  <w:szCs w:val="24"/>
                  <w:lang w:val="en-US" w:eastAsia="zh-CN"/>
                </w:rPr>
              </m:ctrlPr>
            </m:e>
            <m:sub>
              <m:r>
                <m:rPr>
                  <m:sty m:val="p"/>
                </m:rPr>
                <w:rPr>
                  <w:rFonts w:hint="default" w:ascii="Cambria Math" w:hAnsi="Cambria Math"/>
                  <w:color w:val="000000"/>
                  <w:sz w:val="24"/>
                  <w:szCs w:val="24"/>
                  <w:lang w:val="en-US" w:eastAsia="zh-CN"/>
                </w:rPr>
                <m:t>R</m:t>
              </m:r>
              <m:ctrlPr>
                <w:rPr>
                  <w:rFonts w:hint="default" w:ascii="Cambria Math" w:hAnsi="Cambria Math"/>
                  <w:color w:val="000000"/>
                  <w:sz w:val="24"/>
                  <w:szCs w:val="24"/>
                  <w:lang w:val="en-US" w:eastAsia="zh-CN"/>
                </w:rPr>
              </m:ctrlPr>
            </m:sub>
          </m:sSub>
          <m:r>
            <m:rPr>
              <m:sty m:val="p"/>
            </m:rPr>
            <w:rPr>
              <w:rFonts w:hint="default" w:ascii="Cambria Math" w:hAnsi="Cambria Math"/>
              <w:color w:val="000000"/>
              <w:sz w:val="24"/>
              <w:szCs w:val="24"/>
              <w:lang w:val="en-US" w:eastAsia="zh-CN"/>
            </w:rPr>
            <m:t>−</m:t>
          </m:r>
          <m:sSub>
            <m:sSubPr>
              <m:ctrlPr>
                <w:rPr>
                  <w:rFonts w:hint="default" w:ascii="Cambria Math" w:hAnsi="Cambria Math"/>
                  <w:color w:val="000000"/>
                  <w:sz w:val="24"/>
                  <w:szCs w:val="24"/>
                  <w:lang w:val="en-US" w:eastAsia="zh-CN"/>
                </w:rPr>
              </m:ctrlPr>
            </m:sSubPr>
            <m:e>
              <m:r>
                <m:rPr>
                  <m:sty m:val="p"/>
                </m:rPr>
                <w:rPr>
                  <w:rFonts w:hint="default" w:ascii="Cambria Math" w:hAnsi="Cambria Math"/>
                  <w:color w:val="000000"/>
                  <w:sz w:val="24"/>
                  <w:szCs w:val="24"/>
                  <w:lang w:val="en-US" w:eastAsia="zh-CN"/>
                </w:rPr>
                <m:t>OI</m:t>
              </m:r>
              <m:ctrlPr>
                <w:rPr>
                  <w:rFonts w:hint="default" w:ascii="Cambria Math" w:hAnsi="Cambria Math"/>
                  <w:color w:val="000000"/>
                  <w:sz w:val="24"/>
                  <w:szCs w:val="24"/>
                  <w:lang w:val="en-US" w:eastAsia="zh-CN"/>
                </w:rPr>
              </m:ctrlPr>
            </m:e>
            <m:sub>
              <m:r>
                <m:rPr>
                  <m:sty m:val="p"/>
                </m:rPr>
                <w:rPr>
                  <w:rFonts w:hint="default" w:ascii="Cambria Math" w:hAnsi="Cambria Math"/>
                  <w:color w:val="000000"/>
                  <w:sz w:val="24"/>
                  <w:szCs w:val="24"/>
                  <w:lang w:val="en-US" w:eastAsia="zh-CN"/>
                </w:rPr>
                <m:t>S</m:t>
              </m:r>
              <m:ctrlPr>
                <w:rPr>
                  <w:rFonts w:hint="default" w:ascii="Cambria Math" w:hAnsi="Cambria Math"/>
                  <w:color w:val="000000"/>
                  <w:sz w:val="24"/>
                  <w:szCs w:val="24"/>
                  <w:lang w:val="en-US" w:eastAsia="zh-CN"/>
                </w:rPr>
              </m:ctrlPr>
            </m:sub>
          </m:sSub>
        </m:oMath>
      </m:oMathPara>
    </w:p>
    <w:p w14:paraId="26DD985D">
      <w:pPr>
        <w:spacing w:line="360" w:lineRule="auto"/>
        <w:ind w:firstLine="480" w:firstLineChars="200"/>
        <w:rPr>
          <w:rFonts w:hint="eastAsia" w:ascii="Times New Roman"/>
          <w:color w:val="000000"/>
          <w:sz w:val="24"/>
          <w:szCs w:val="24"/>
          <w:lang w:val="en-US" w:eastAsia="zh-CN"/>
        </w:rPr>
      </w:pPr>
      <w:r>
        <w:rPr>
          <w:rFonts w:hint="eastAsia" w:ascii="Times New Roman"/>
          <w:color w:val="000000"/>
          <w:sz w:val="24"/>
          <w:szCs w:val="24"/>
        </w:rPr>
        <w:t>标准编制前期，</w:t>
      </w:r>
      <w:r>
        <w:rPr>
          <w:rFonts w:hint="eastAsia" w:ascii="Times New Roman"/>
          <w:color w:val="000000"/>
          <w:sz w:val="24"/>
          <w:szCs w:val="24"/>
          <w:lang w:val="en-US" w:eastAsia="zh-CN"/>
        </w:rPr>
        <w:t>编制组</w:t>
      </w:r>
      <w:r>
        <w:rPr>
          <w:rFonts w:hint="eastAsia" w:ascii="Times New Roman"/>
          <w:color w:val="000000"/>
          <w:sz w:val="24"/>
          <w:szCs w:val="24"/>
        </w:rPr>
        <w:t>分别</w:t>
      </w:r>
      <w:r>
        <w:rPr>
          <w:rFonts w:hint="eastAsia" w:ascii="Times New Roman"/>
          <w:color w:val="000000"/>
          <w:sz w:val="24"/>
          <w:szCs w:val="24"/>
          <w:lang w:val="en-US" w:eastAsia="zh-CN"/>
        </w:rPr>
        <w:t>从物理刺激</w:t>
      </w:r>
      <w:r>
        <w:rPr>
          <w:rFonts w:hint="eastAsia" w:ascii="Times New Roman"/>
          <w:color w:val="000000"/>
          <w:sz w:val="24"/>
          <w:szCs w:val="24"/>
        </w:rPr>
        <w:t>强度、稀释阈值与主观</w:t>
      </w:r>
      <w:r>
        <w:rPr>
          <w:rFonts w:hint="eastAsia" w:ascii="Times New Roman"/>
          <w:color w:val="000000"/>
          <w:sz w:val="24"/>
          <w:szCs w:val="24"/>
          <w:lang w:val="en-US" w:eastAsia="zh-CN"/>
        </w:rPr>
        <w:t>情绪效应三个维度进行考虑，设置了</w:t>
      </w:r>
      <w:r>
        <w:rPr>
          <w:rFonts w:hint="eastAsia" w:ascii="Times New Roman"/>
          <w:color w:val="000000"/>
          <w:sz w:val="24"/>
          <w:szCs w:val="24"/>
        </w:rPr>
        <w:t>“</w:t>
      </w:r>
      <w:r>
        <w:rPr>
          <w:rFonts w:hint="eastAsia" w:ascii="Times New Roman"/>
          <w:color w:val="000000"/>
          <w:sz w:val="24"/>
          <w:szCs w:val="24"/>
          <w:lang w:val="en-US" w:eastAsia="zh-CN"/>
        </w:rPr>
        <w:t>气味</w:t>
      </w:r>
      <w:r>
        <w:rPr>
          <w:rFonts w:hint="eastAsia" w:ascii="Times New Roman"/>
          <w:color w:val="000000"/>
          <w:sz w:val="24"/>
          <w:szCs w:val="24"/>
        </w:rPr>
        <w:t>强度—</w:t>
      </w:r>
      <w:r>
        <w:rPr>
          <w:rFonts w:hint="eastAsia" w:ascii="Times New Roman"/>
          <w:color w:val="000000"/>
          <w:sz w:val="24"/>
          <w:szCs w:val="24"/>
          <w:lang w:val="en-US" w:eastAsia="zh-CN"/>
        </w:rPr>
        <w:t>气味</w:t>
      </w:r>
      <w:r>
        <w:rPr>
          <w:rFonts w:hint="eastAsia" w:ascii="Times New Roman"/>
          <w:color w:val="000000"/>
          <w:sz w:val="24"/>
          <w:szCs w:val="24"/>
        </w:rPr>
        <w:t>浓度—</w:t>
      </w:r>
      <w:r>
        <w:rPr>
          <w:rFonts w:hint="eastAsia" w:ascii="Times New Roman"/>
          <w:color w:val="000000"/>
          <w:sz w:val="24"/>
          <w:szCs w:val="24"/>
          <w:lang w:val="en-US" w:eastAsia="zh-CN"/>
        </w:rPr>
        <w:t>气味</w:t>
      </w:r>
      <w:r>
        <w:rPr>
          <w:rFonts w:hint="eastAsia" w:ascii="Times New Roman"/>
          <w:color w:val="000000"/>
          <w:sz w:val="24"/>
          <w:szCs w:val="24"/>
        </w:rPr>
        <w:t>可接受度”</w:t>
      </w:r>
      <w:r>
        <w:rPr>
          <w:rFonts w:hint="eastAsia" w:ascii="Times New Roman"/>
          <w:color w:val="000000"/>
          <w:sz w:val="24"/>
          <w:szCs w:val="24"/>
          <w:lang w:val="en-US" w:eastAsia="zh-CN"/>
        </w:rPr>
        <w:t>指标体系</w:t>
      </w:r>
      <w:r>
        <w:rPr>
          <w:rFonts w:hint="eastAsia" w:ascii="Times New Roman"/>
          <w:color w:val="000000"/>
          <w:sz w:val="24"/>
          <w:szCs w:val="24"/>
        </w:rPr>
        <w:t>，以期形成较为</w:t>
      </w:r>
      <w:r>
        <w:rPr>
          <w:rFonts w:hint="eastAsia" w:ascii="Times New Roman"/>
          <w:color w:val="000000"/>
          <w:sz w:val="24"/>
          <w:szCs w:val="24"/>
          <w:lang w:val="en-US" w:eastAsia="zh-CN"/>
        </w:rPr>
        <w:t>全面</w:t>
      </w:r>
      <w:r>
        <w:rPr>
          <w:rFonts w:hint="eastAsia" w:ascii="Times New Roman"/>
          <w:color w:val="000000"/>
          <w:sz w:val="24"/>
          <w:szCs w:val="24"/>
        </w:rPr>
        <w:t>的净味性能</w:t>
      </w:r>
      <w:r>
        <w:rPr>
          <w:rFonts w:hint="eastAsia" w:ascii="Times New Roman"/>
          <w:color w:val="000000"/>
          <w:sz w:val="24"/>
          <w:szCs w:val="24"/>
          <w:lang w:val="en-US" w:eastAsia="zh-CN"/>
        </w:rPr>
        <w:t>评价</w:t>
      </w:r>
      <w:r>
        <w:rPr>
          <w:rFonts w:hint="eastAsia" w:ascii="Times New Roman"/>
          <w:color w:val="000000"/>
          <w:sz w:val="24"/>
          <w:szCs w:val="24"/>
        </w:rPr>
        <w:t>。</w:t>
      </w:r>
      <w:r>
        <w:rPr>
          <w:rFonts w:hint="eastAsia" w:ascii="Times New Roman"/>
          <w:color w:val="000000"/>
          <w:sz w:val="24"/>
          <w:szCs w:val="24"/>
          <w:lang w:val="en-US" w:eastAsia="zh-CN"/>
        </w:rPr>
        <w:t>后期由于考虑到标准推广难度以及指标测试精度等一系列因素，编制组在多轮内部讨论与试验后，删除“气味浓度、气味可接受度”两项，仅保留气味强度作为单一功能性评价指标并据此重构了分级体系，主要原因如下：</w:t>
      </w:r>
    </w:p>
    <w:p w14:paraId="7172D0BE">
      <w:pPr>
        <w:numPr>
          <w:ilvl w:val="0"/>
          <w:numId w:val="2"/>
        </w:numPr>
        <w:spacing w:line="360" w:lineRule="auto"/>
        <w:ind w:left="425" w:leftChars="0" w:hanging="425" w:firstLineChars="0"/>
        <w:rPr>
          <w:rFonts w:hint="eastAsia" w:ascii="宋体" w:hAnsi="宋体" w:cs="宋体"/>
          <w:sz w:val="24"/>
          <w:szCs w:val="24"/>
          <w:lang w:eastAsia="zh-CN"/>
        </w:rPr>
      </w:pPr>
      <w:r>
        <w:rPr>
          <w:rFonts w:hint="eastAsia" w:ascii="宋体" w:hAnsi="宋体" w:cs="宋体"/>
          <w:sz w:val="24"/>
          <w:szCs w:val="24"/>
          <w:lang w:eastAsia="zh-CN"/>
        </w:rPr>
        <w:t>与国内相关标准实践一致：家电除味类方法广泛采用气味强度差值/感知差值作为核心</w:t>
      </w:r>
      <w:r>
        <w:rPr>
          <w:rFonts w:hint="eastAsia" w:ascii="宋体" w:hAnsi="宋体" w:cs="宋体"/>
          <w:sz w:val="24"/>
          <w:szCs w:val="24"/>
          <w:lang w:val="en-US" w:eastAsia="zh-CN"/>
        </w:rPr>
        <w:t>检验</w:t>
      </w:r>
      <w:r>
        <w:rPr>
          <w:rFonts w:hint="eastAsia" w:ascii="宋体" w:hAnsi="宋体" w:cs="宋体"/>
          <w:sz w:val="24"/>
          <w:szCs w:val="24"/>
          <w:lang w:eastAsia="zh-CN"/>
        </w:rPr>
        <w:t>指标，行业</w:t>
      </w:r>
      <w:r>
        <w:rPr>
          <w:rFonts w:hint="eastAsia" w:ascii="宋体" w:hAnsi="宋体" w:cs="宋体"/>
          <w:sz w:val="24"/>
          <w:szCs w:val="24"/>
          <w:lang w:val="en-US" w:eastAsia="zh-CN"/>
        </w:rPr>
        <w:t>接受度较高</w:t>
      </w:r>
      <w:r>
        <w:rPr>
          <w:rFonts w:hint="eastAsia" w:ascii="宋体" w:hAnsi="宋体" w:cs="宋体"/>
          <w:sz w:val="24"/>
          <w:szCs w:val="24"/>
          <w:lang w:eastAsia="zh-CN"/>
        </w:rPr>
        <w:t>。</w:t>
      </w:r>
    </w:p>
    <w:p w14:paraId="762113FE">
      <w:pPr>
        <w:numPr>
          <w:ilvl w:val="0"/>
          <w:numId w:val="2"/>
        </w:numPr>
        <w:spacing w:line="360" w:lineRule="auto"/>
        <w:ind w:left="425" w:leftChars="0" w:hanging="425" w:firstLineChars="0"/>
        <w:rPr>
          <w:rFonts w:hint="eastAsia" w:ascii="宋体" w:hAnsi="宋体" w:cs="宋体"/>
          <w:sz w:val="24"/>
          <w:szCs w:val="24"/>
          <w:lang w:eastAsia="zh-CN"/>
        </w:rPr>
      </w:pPr>
      <w:r>
        <w:rPr>
          <w:rFonts w:hint="eastAsia" w:ascii="宋体" w:hAnsi="宋体" w:cs="宋体"/>
          <w:sz w:val="24"/>
          <w:szCs w:val="24"/>
          <w:lang w:eastAsia="zh-CN"/>
        </w:rPr>
        <w:t>相较“浓度+可接受度”并行方案，单一强度指标显著降低设备门槛与</w:t>
      </w:r>
      <w:r>
        <w:rPr>
          <w:rFonts w:hint="eastAsia" w:ascii="宋体" w:hAnsi="宋体" w:cs="宋体"/>
          <w:sz w:val="24"/>
          <w:szCs w:val="24"/>
          <w:lang w:val="en-US" w:eastAsia="zh-CN"/>
        </w:rPr>
        <w:t>试验</w:t>
      </w:r>
      <w:r>
        <w:rPr>
          <w:rFonts w:hint="eastAsia" w:ascii="宋体" w:hAnsi="宋体" w:cs="宋体"/>
          <w:sz w:val="24"/>
          <w:szCs w:val="24"/>
          <w:lang w:eastAsia="zh-CN"/>
        </w:rPr>
        <w:t>成本，便于规模化检验与企业自检，符合团体标准的推广属性。</w:t>
      </w:r>
    </w:p>
    <w:p w14:paraId="151A27AE">
      <w:pPr>
        <w:spacing w:line="360" w:lineRule="auto"/>
        <w:ind w:firstLine="482" w:firstLineChars="200"/>
        <w:rPr>
          <w:rFonts w:hint="default" w:ascii="Times New Roman" w:eastAsia="宋体"/>
          <w:b/>
          <w:bCs/>
          <w:color w:val="000000"/>
          <w:sz w:val="24"/>
          <w:szCs w:val="24"/>
          <w:lang w:val="en-US" w:eastAsia="zh-CN"/>
        </w:rPr>
      </w:pPr>
      <w:r>
        <w:rPr>
          <w:rFonts w:hint="eastAsia" w:ascii="Times New Roman"/>
          <w:b/>
          <w:bCs/>
          <w:color w:val="000000"/>
          <w:sz w:val="24"/>
          <w:szCs w:val="24"/>
          <w:lang w:val="en-US" w:eastAsia="zh-CN"/>
        </w:rPr>
        <w:t>（2）方法选择</w:t>
      </w:r>
    </w:p>
    <w:p w14:paraId="735533AB">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编制组系统</w:t>
      </w:r>
      <w:r>
        <w:rPr>
          <w:rFonts w:hint="eastAsia" w:ascii="宋体" w:hAnsi="宋体" w:cs="宋体"/>
          <w:sz w:val="24"/>
          <w:szCs w:val="24"/>
          <w:lang w:eastAsia="zh-CN"/>
        </w:rPr>
        <w:t>比较了</w:t>
      </w:r>
      <w:r>
        <w:rPr>
          <w:rFonts w:hint="eastAsia" w:ascii="宋体" w:hAnsi="宋体" w:cs="宋体"/>
          <w:sz w:val="24"/>
          <w:szCs w:val="24"/>
          <w:lang w:val="en-US" w:eastAsia="zh-CN"/>
        </w:rPr>
        <w:t>气味强度的测定方法</w:t>
      </w:r>
      <w:r>
        <w:rPr>
          <w:rFonts w:hint="eastAsia" w:ascii="宋体" w:hAnsi="宋体" w:cs="宋体"/>
          <w:sz w:val="24"/>
          <w:szCs w:val="24"/>
          <w:lang w:eastAsia="zh-CN"/>
        </w:rPr>
        <w:t>，最终选用</w:t>
      </w:r>
      <w:r>
        <w:rPr>
          <w:rFonts w:hint="eastAsia" w:ascii="宋体" w:hAnsi="宋体" w:cs="宋体"/>
          <w:sz w:val="24"/>
          <w:szCs w:val="24"/>
          <w:lang w:val="en-US" w:eastAsia="zh-CN"/>
        </w:rPr>
        <w:t>七</w:t>
      </w:r>
      <w:r>
        <w:rPr>
          <w:rFonts w:hint="eastAsia" w:ascii="宋体" w:hAnsi="宋体" w:cs="宋体"/>
          <w:sz w:val="24"/>
          <w:szCs w:val="24"/>
          <w:lang w:eastAsia="zh-CN"/>
        </w:rPr>
        <w:t>阶段法，主要基于：</w:t>
      </w:r>
    </w:p>
    <w:p w14:paraId="478D1584">
      <w:pPr>
        <w:numPr>
          <w:ilvl w:val="0"/>
          <w:numId w:val="2"/>
        </w:numPr>
        <w:spacing w:line="360" w:lineRule="auto"/>
        <w:ind w:left="425" w:leftChars="0" w:hanging="425" w:firstLineChars="0"/>
        <w:rPr>
          <w:rFonts w:hint="eastAsia" w:ascii="宋体" w:hAnsi="宋体" w:cs="宋体"/>
          <w:sz w:val="24"/>
          <w:szCs w:val="24"/>
          <w:lang w:eastAsia="zh-CN"/>
        </w:rPr>
      </w:pPr>
      <w:r>
        <w:rPr>
          <w:rFonts w:hint="eastAsia" w:ascii="宋体" w:hAnsi="宋体" w:cs="宋体"/>
          <w:sz w:val="24"/>
          <w:szCs w:val="24"/>
          <w:lang w:eastAsia="zh-CN"/>
        </w:rPr>
        <w:t>操作简明、</w:t>
      </w:r>
      <w:r>
        <w:rPr>
          <w:rFonts w:hint="eastAsia" w:ascii="宋体" w:hAnsi="宋体" w:cs="宋体"/>
          <w:sz w:val="24"/>
          <w:szCs w:val="24"/>
          <w:lang w:val="en-US" w:eastAsia="zh-CN"/>
        </w:rPr>
        <w:t>人员培训</w:t>
      </w:r>
      <w:r>
        <w:rPr>
          <w:rFonts w:hint="eastAsia" w:ascii="宋体" w:hAnsi="宋体" w:cs="宋体"/>
          <w:sz w:val="24"/>
          <w:szCs w:val="24"/>
          <w:lang w:eastAsia="zh-CN"/>
        </w:rPr>
        <w:t>成本低：阶段法对</w:t>
      </w:r>
      <w:r>
        <w:rPr>
          <w:rFonts w:hint="eastAsia" w:ascii="宋体" w:hAnsi="宋体" w:cs="宋体"/>
          <w:sz w:val="24"/>
          <w:szCs w:val="24"/>
          <w:lang w:val="en-US" w:eastAsia="zh-CN"/>
        </w:rPr>
        <w:t>气味</w:t>
      </w:r>
      <w:r>
        <w:rPr>
          <w:rFonts w:hint="eastAsia" w:ascii="宋体" w:hAnsi="宋体" w:cs="宋体"/>
          <w:sz w:val="24"/>
          <w:szCs w:val="24"/>
          <w:lang w:eastAsia="zh-CN"/>
        </w:rPr>
        <w:t>评价员训练要求与</w:t>
      </w:r>
      <w:r>
        <w:rPr>
          <w:rFonts w:hint="eastAsia" w:ascii="宋体" w:hAnsi="宋体" w:cs="宋体"/>
          <w:sz w:val="24"/>
          <w:szCs w:val="24"/>
          <w:lang w:val="en-US" w:eastAsia="zh-CN"/>
        </w:rPr>
        <w:t>试验</w:t>
      </w:r>
      <w:r>
        <w:rPr>
          <w:rFonts w:hint="eastAsia" w:ascii="宋体" w:hAnsi="宋体" w:cs="宋体"/>
          <w:sz w:val="24"/>
          <w:szCs w:val="24"/>
          <w:lang w:eastAsia="zh-CN"/>
        </w:rPr>
        <w:t>准备（无需</w:t>
      </w:r>
      <w:r>
        <w:rPr>
          <w:rFonts w:hint="eastAsia" w:ascii="宋体" w:hAnsi="宋体" w:cs="宋体"/>
          <w:sz w:val="24"/>
          <w:szCs w:val="24"/>
          <w:lang w:val="en-US" w:eastAsia="zh-CN"/>
        </w:rPr>
        <w:t>配制</w:t>
      </w:r>
      <w:r>
        <w:rPr>
          <w:rFonts w:hint="eastAsia" w:ascii="宋体" w:hAnsi="宋体" w:cs="宋体"/>
          <w:sz w:val="24"/>
          <w:szCs w:val="24"/>
          <w:lang w:eastAsia="zh-CN"/>
        </w:rPr>
        <w:t>和保存参比</w:t>
      </w:r>
      <w:r>
        <w:rPr>
          <w:rFonts w:hint="eastAsia" w:ascii="宋体" w:hAnsi="宋体" w:cs="宋体"/>
          <w:sz w:val="24"/>
          <w:szCs w:val="24"/>
          <w:lang w:val="en-US" w:eastAsia="zh-CN"/>
        </w:rPr>
        <w:t>物质系列</w:t>
      </w:r>
      <w:r>
        <w:rPr>
          <w:rFonts w:hint="eastAsia" w:ascii="宋体" w:hAnsi="宋体" w:cs="宋体"/>
          <w:sz w:val="24"/>
          <w:szCs w:val="24"/>
          <w:lang w:eastAsia="zh-CN"/>
        </w:rPr>
        <w:t>）明显低于参考基准法，更适合</w:t>
      </w:r>
      <w:r>
        <w:rPr>
          <w:rFonts w:hint="eastAsia" w:ascii="宋体" w:hAnsi="宋体" w:cs="宋体"/>
          <w:sz w:val="24"/>
          <w:szCs w:val="24"/>
          <w:lang w:val="en-US" w:eastAsia="zh-CN"/>
        </w:rPr>
        <w:t>在</w:t>
      </w:r>
      <w:r>
        <w:rPr>
          <w:rFonts w:hint="eastAsia" w:ascii="宋体" w:hAnsi="宋体" w:cs="宋体"/>
          <w:sz w:val="24"/>
          <w:szCs w:val="24"/>
          <w:lang w:eastAsia="zh-CN"/>
        </w:rPr>
        <w:t>企业实验室的落地。</w:t>
      </w:r>
    </w:p>
    <w:p w14:paraId="26456398">
      <w:pPr>
        <w:numPr>
          <w:ilvl w:val="0"/>
          <w:numId w:val="2"/>
        </w:numPr>
        <w:spacing w:line="360" w:lineRule="auto"/>
        <w:ind w:left="425" w:leftChars="0" w:hanging="425" w:firstLineChars="0"/>
        <w:rPr>
          <w:rFonts w:hint="eastAsia" w:ascii="宋体" w:hAnsi="宋体" w:cs="宋体"/>
          <w:sz w:val="24"/>
          <w:szCs w:val="24"/>
          <w:lang w:eastAsia="zh-CN"/>
        </w:rPr>
      </w:pPr>
      <w:r>
        <w:rPr>
          <w:rFonts w:hint="eastAsia" w:ascii="宋体" w:hAnsi="宋体" w:cs="宋体"/>
          <w:sz w:val="24"/>
          <w:szCs w:val="24"/>
          <w:lang w:eastAsia="zh-CN"/>
        </w:rPr>
        <w:t>与现行方法体系衔接顺畅：国内对于阶段法的接受程度较高，结果更直观，更利于消费者理解气味</w:t>
      </w:r>
      <w:r>
        <w:rPr>
          <w:rFonts w:hint="eastAsia" w:ascii="宋体" w:hAnsi="宋体" w:cs="宋体"/>
          <w:sz w:val="24"/>
          <w:szCs w:val="24"/>
          <w:lang w:val="en-US" w:eastAsia="zh-CN"/>
        </w:rPr>
        <w:t>净化性能</w:t>
      </w:r>
      <w:r>
        <w:rPr>
          <w:rFonts w:hint="eastAsia" w:ascii="宋体" w:hAnsi="宋体" w:cs="宋体"/>
          <w:sz w:val="24"/>
          <w:szCs w:val="24"/>
          <w:lang w:eastAsia="zh-CN"/>
        </w:rPr>
        <w:t>结果。同时气味强度（参考基准法）的实验设备丙酮发生器在国内推广较慢，没有对应的厂家生产相关设备，这一点进一步限制参考基准法的使用。</w:t>
      </w:r>
    </w:p>
    <w:p w14:paraId="3B894046">
      <w:pPr>
        <w:tabs>
          <w:tab w:val="left" w:pos="2692"/>
        </w:tabs>
        <w:spacing w:before="326" w:beforeLines="100" w:after="326" w:afterLines="100" w:line="360" w:lineRule="auto"/>
        <w:outlineLvl w:val="2"/>
        <w:rPr>
          <w:rFonts w:ascii="黑体" w:hAnsi="Times New Roman" w:eastAsia="黑体"/>
          <w:b/>
          <w:sz w:val="24"/>
          <w:szCs w:val="24"/>
        </w:rPr>
      </w:pPr>
      <w:r>
        <w:rPr>
          <w:rFonts w:hint="eastAsia" w:ascii="黑体" w:hAnsi="Times New Roman" w:eastAsia="黑体"/>
          <w:b/>
          <w:sz w:val="24"/>
          <w:szCs w:val="24"/>
        </w:rPr>
        <w:t>2.3.2</w:t>
      </w:r>
      <w:r>
        <w:rPr>
          <w:rFonts w:hint="eastAsia" w:ascii="黑体" w:hAnsi="Times New Roman" w:eastAsia="黑体"/>
          <w:b/>
          <w:sz w:val="24"/>
          <w:szCs w:val="24"/>
          <w:lang w:val="en-US" w:eastAsia="zh-CN"/>
        </w:rPr>
        <w:t>气味净化性能分级</w:t>
      </w:r>
    </w:p>
    <w:p w14:paraId="2908A7E2">
      <w:pPr>
        <w:spacing w:line="360" w:lineRule="auto"/>
        <w:rPr>
          <w:rFonts w:ascii="Times New Roman" w:hAnsi="Times New Roman"/>
          <w:color w:val="000000"/>
          <w:sz w:val="24"/>
          <w:szCs w:val="24"/>
        </w:rPr>
      </w:pPr>
      <w:r>
        <w:rPr>
          <w:rFonts w:hint="eastAsia" w:ascii="Times New Roman" w:hAnsi="Times New Roman"/>
          <w:color w:val="000000"/>
          <w:sz w:val="24"/>
          <w:szCs w:val="24"/>
        </w:rPr>
        <w:t>（1）气味净化性能分级的选择依据</w:t>
      </w:r>
    </w:p>
    <w:p w14:paraId="43D1725F">
      <w:pPr>
        <w:spacing w:line="360" w:lineRule="auto"/>
        <w:ind w:firstLine="480" w:firstLineChars="200"/>
        <w:rPr>
          <w:rFonts w:hint="default" w:ascii="Times New Roman" w:hAnsi="Times New Roman" w:eastAsia="宋体"/>
          <w:color w:val="000000"/>
          <w:sz w:val="24"/>
          <w:szCs w:val="24"/>
          <w:lang w:val="en-US" w:eastAsia="zh-CN"/>
        </w:rPr>
      </w:pPr>
      <w:r>
        <w:rPr>
          <w:rFonts w:hint="eastAsia" w:ascii="Times New Roman" w:hAnsi="Times New Roman"/>
          <w:color w:val="000000"/>
          <w:sz w:val="24"/>
          <w:szCs w:val="24"/>
        </w:rPr>
        <w:t>目前大部分国内外标准采用通过测试空气净化材料</w:t>
      </w:r>
      <w:r>
        <w:rPr>
          <w:rFonts w:hint="eastAsia" w:ascii="Times New Roman" w:hAnsi="Times New Roman"/>
          <w:color w:val="000000"/>
          <w:sz w:val="24"/>
          <w:szCs w:val="24"/>
          <w:lang w:val="en-US" w:eastAsia="zh-CN"/>
        </w:rPr>
        <w:t>或产品</w:t>
      </w:r>
      <w:r>
        <w:rPr>
          <w:rFonts w:hint="eastAsia" w:ascii="Times New Roman" w:hAnsi="Times New Roman"/>
          <w:color w:val="000000"/>
          <w:sz w:val="24"/>
          <w:szCs w:val="24"/>
        </w:rPr>
        <w:t>对于几种化学物质、颗粒物、微生物的去除效率以评价其</w:t>
      </w:r>
      <w:r>
        <w:rPr>
          <w:rFonts w:hint="eastAsia" w:ascii="Times New Roman" w:hAnsi="Times New Roman"/>
          <w:color w:val="000000"/>
          <w:sz w:val="24"/>
          <w:szCs w:val="24"/>
          <w:lang w:val="en-US" w:eastAsia="zh-CN"/>
        </w:rPr>
        <w:t>净化</w:t>
      </w:r>
      <w:r>
        <w:rPr>
          <w:rFonts w:hint="eastAsia" w:ascii="Times New Roman" w:hAnsi="Times New Roman"/>
          <w:color w:val="000000"/>
          <w:sz w:val="24"/>
          <w:szCs w:val="24"/>
        </w:rPr>
        <w:t>性能。</w:t>
      </w:r>
      <w:r>
        <w:rPr>
          <w:rFonts w:hint="eastAsia" w:ascii="Times New Roman" w:hAnsi="Times New Roman"/>
          <w:color w:val="000000"/>
          <w:sz w:val="24"/>
          <w:szCs w:val="24"/>
          <w:lang w:val="en-US" w:eastAsia="zh-CN"/>
        </w:rPr>
        <w:t>但是由于目前室内异味污染的突出问题，消费者或用户对于相关产品的净味性能的需求日益增长，但是目前未见相关标准发布和实施。</w:t>
      </w:r>
    </w:p>
    <w:p w14:paraId="4C1D4079">
      <w:pPr>
        <w:spacing w:line="360" w:lineRule="auto"/>
        <w:ind w:firstLine="480" w:firstLineChars="200"/>
        <w:rPr>
          <w:rFonts w:ascii="Times New Roman" w:hAnsi="Times New Roman"/>
          <w:color w:val="000000"/>
          <w:sz w:val="24"/>
          <w:szCs w:val="24"/>
        </w:rPr>
      </w:pPr>
      <w:r>
        <w:rPr>
          <w:rFonts w:hint="eastAsia" w:ascii="Times New Roman" w:hAnsi="Times New Roman"/>
          <w:color w:val="000000"/>
          <w:sz w:val="24"/>
          <w:szCs w:val="24"/>
        </w:rPr>
        <w:t>通过调研国内外</w:t>
      </w:r>
      <w:r>
        <w:rPr>
          <w:rFonts w:hint="eastAsia" w:ascii="Times New Roman" w:hAnsi="Times New Roman"/>
          <w:color w:val="000000"/>
          <w:sz w:val="24"/>
          <w:szCs w:val="24"/>
          <w:lang w:val="en-US" w:eastAsia="zh-CN"/>
        </w:rPr>
        <w:t>电子电器、环境等</w:t>
      </w:r>
      <w:r>
        <w:rPr>
          <w:rFonts w:hint="eastAsia" w:ascii="Times New Roman" w:hAnsi="Times New Roman"/>
          <w:color w:val="000000"/>
          <w:sz w:val="24"/>
          <w:szCs w:val="24"/>
        </w:rPr>
        <w:t>相关产品标准，部分产品标准对产品的气味</w:t>
      </w:r>
      <w:r>
        <w:rPr>
          <w:rFonts w:hint="eastAsia" w:ascii="Times New Roman" w:hAnsi="Times New Roman"/>
          <w:color w:val="000000"/>
          <w:sz w:val="24"/>
          <w:szCs w:val="24"/>
          <w:lang w:val="en-US" w:eastAsia="zh-CN"/>
        </w:rPr>
        <w:t>净化</w:t>
      </w:r>
      <w:r>
        <w:rPr>
          <w:rFonts w:hint="eastAsia" w:ascii="Times New Roman" w:hAnsi="Times New Roman"/>
          <w:color w:val="000000"/>
          <w:sz w:val="24"/>
          <w:szCs w:val="24"/>
        </w:rPr>
        <w:t>性能有一定的要求。具体情况如下：</w:t>
      </w:r>
    </w:p>
    <w:p w14:paraId="193F44B7">
      <w:pPr>
        <w:spacing w:line="360" w:lineRule="auto"/>
        <w:rPr>
          <w:rFonts w:ascii="Times New Roman" w:hAnsi="Times New Roman"/>
          <w:color w:val="000000"/>
          <w:sz w:val="24"/>
          <w:szCs w:val="24"/>
        </w:rPr>
      </w:pPr>
      <w:r>
        <w:rPr>
          <w:rFonts w:hint="eastAsia" w:ascii="Times New Roman" w:hAnsi="Times New Roman"/>
          <w:color w:val="000000"/>
          <w:sz w:val="24"/>
          <w:szCs w:val="24"/>
        </w:rPr>
        <w:t>a）国内</w:t>
      </w:r>
    </w:p>
    <w:tbl>
      <w:tblPr>
        <w:tblStyle w:val="18"/>
        <w:tblW w:w="96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86"/>
        <w:gridCol w:w="4067"/>
        <w:gridCol w:w="3000"/>
        <w:gridCol w:w="2129"/>
      </w:tblGrid>
      <w:tr w14:paraId="7FBC6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4553" w:type="dxa"/>
            <w:gridSpan w:val="2"/>
            <w:vAlign w:val="center"/>
          </w:tcPr>
          <w:p w14:paraId="2B3BE365">
            <w:pPr>
              <w:spacing w:line="360" w:lineRule="auto"/>
              <w:rPr>
                <w:rFonts w:ascii="Times New Roman" w:hAnsi="Times New Roman"/>
                <w:color w:val="000000"/>
                <w:sz w:val="24"/>
                <w:szCs w:val="24"/>
              </w:rPr>
            </w:pPr>
            <w:r>
              <w:rPr>
                <w:rFonts w:hint="eastAsia" w:ascii="Times New Roman" w:hAnsi="Times New Roman"/>
                <w:color w:val="000000"/>
                <w:sz w:val="24"/>
                <w:szCs w:val="24"/>
              </w:rPr>
              <w:t>标准名称及标准号</w:t>
            </w:r>
          </w:p>
        </w:tc>
        <w:tc>
          <w:tcPr>
            <w:tcW w:w="3000" w:type="dxa"/>
            <w:vAlign w:val="center"/>
          </w:tcPr>
          <w:p w14:paraId="338F5509">
            <w:pPr>
              <w:spacing w:line="360" w:lineRule="auto"/>
              <w:rPr>
                <w:rFonts w:hint="default" w:ascii="Times New Roman" w:hAnsi="Times New Roman" w:eastAsia="宋体"/>
                <w:color w:val="000000"/>
                <w:sz w:val="24"/>
                <w:szCs w:val="24"/>
                <w:lang w:val="en-US" w:eastAsia="zh-CN"/>
              </w:rPr>
            </w:pPr>
            <w:r>
              <w:rPr>
                <w:rFonts w:hint="eastAsia" w:ascii="Times New Roman" w:hAnsi="Times New Roman"/>
                <w:color w:val="000000"/>
                <w:sz w:val="24"/>
                <w:szCs w:val="24"/>
                <w:lang w:val="en-US" w:eastAsia="zh-CN"/>
              </w:rPr>
              <w:t>指标及方法</w:t>
            </w:r>
          </w:p>
        </w:tc>
        <w:tc>
          <w:tcPr>
            <w:tcW w:w="2129" w:type="dxa"/>
            <w:vAlign w:val="center"/>
          </w:tcPr>
          <w:p w14:paraId="0E2B9298">
            <w:pPr>
              <w:spacing w:line="360" w:lineRule="auto"/>
              <w:rPr>
                <w:rFonts w:hint="default" w:ascii="Times New Roman" w:hAnsi="Times New Roman"/>
                <w:color w:val="000000"/>
                <w:sz w:val="24"/>
                <w:szCs w:val="24"/>
                <w:lang w:val="en-US" w:eastAsia="zh-CN"/>
              </w:rPr>
            </w:pPr>
            <w:r>
              <w:rPr>
                <w:rFonts w:hint="eastAsia" w:ascii="Times New Roman" w:hAnsi="Times New Roman"/>
                <w:color w:val="000000"/>
                <w:sz w:val="24"/>
                <w:szCs w:val="24"/>
                <w:lang w:val="en-US" w:eastAsia="zh-CN"/>
              </w:rPr>
              <w:t>要求</w:t>
            </w:r>
          </w:p>
        </w:tc>
      </w:tr>
      <w:tr w14:paraId="180ED1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486" w:type="dxa"/>
            <w:vMerge w:val="restart"/>
            <w:vAlign w:val="center"/>
          </w:tcPr>
          <w:p w14:paraId="42475128">
            <w:pPr>
              <w:spacing w:line="360" w:lineRule="auto"/>
              <w:rPr>
                <w:rFonts w:hint="default" w:ascii="Times New Roman" w:hAnsi="Times New Roman" w:eastAsia="宋体"/>
                <w:color w:val="000000"/>
                <w:sz w:val="24"/>
                <w:szCs w:val="24"/>
                <w:lang w:val="en-US" w:eastAsia="zh-CN"/>
              </w:rPr>
            </w:pPr>
            <w:r>
              <w:rPr>
                <w:rFonts w:hint="eastAsia" w:ascii="Times New Roman" w:hAnsi="Times New Roman"/>
                <w:color w:val="000000"/>
                <w:sz w:val="24"/>
                <w:szCs w:val="24"/>
                <w:lang w:val="en-US" w:eastAsia="zh-CN"/>
              </w:rPr>
              <w:t>感官评价方法</w:t>
            </w:r>
          </w:p>
        </w:tc>
        <w:tc>
          <w:tcPr>
            <w:tcW w:w="4067" w:type="dxa"/>
            <w:vAlign w:val="center"/>
          </w:tcPr>
          <w:p w14:paraId="45013ABB">
            <w:pPr>
              <w:spacing w:line="360" w:lineRule="auto"/>
              <w:rPr>
                <w:rFonts w:hint="default" w:ascii="Times New Roman" w:hAnsi="Times New Roman" w:eastAsia="宋体"/>
                <w:color w:val="000000"/>
                <w:sz w:val="24"/>
                <w:szCs w:val="24"/>
                <w:lang w:val="en-US" w:eastAsia="zh-CN"/>
              </w:rPr>
            </w:pPr>
            <w:r>
              <w:rPr>
                <w:rFonts w:hint="eastAsia" w:ascii="Times New Roman" w:hAnsi="Times New Roman"/>
                <w:color w:val="000000"/>
                <w:sz w:val="24"/>
                <w:szCs w:val="24"/>
                <w:lang w:val="en-US" w:eastAsia="zh-CN"/>
              </w:rPr>
              <w:t>GB/T 18801-2022《空气净化器》</w:t>
            </w:r>
          </w:p>
        </w:tc>
        <w:tc>
          <w:tcPr>
            <w:tcW w:w="3000" w:type="dxa"/>
            <w:vAlign w:val="center"/>
          </w:tcPr>
          <w:p w14:paraId="5B36F18C">
            <w:pPr>
              <w:spacing w:line="360" w:lineRule="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指标：气味强度差值</w:t>
            </w:r>
          </w:p>
          <w:p w14:paraId="0CC04D4C">
            <w:pPr>
              <w:spacing w:line="360" w:lineRule="auto"/>
              <w:rPr>
                <w:rFonts w:hint="default" w:ascii="Times New Roman" w:hAnsi="Times New Roman"/>
                <w:color w:val="000000"/>
                <w:sz w:val="24"/>
                <w:szCs w:val="24"/>
                <w:lang w:val="en-US" w:eastAsia="zh-CN"/>
              </w:rPr>
            </w:pPr>
            <w:r>
              <w:rPr>
                <w:rFonts w:hint="eastAsia" w:ascii="Times New Roman" w:hAnsi="Times New Roman"/>
                <w:color w:val="000000"/>
                <w:sz w:val="24"/>
                <w:szCs w:val="24"/>
                <w:lang w:val="en-US" w:eastAsia="zh-CN"/>
              </w:rPr>
              <w:t>方法：0～5六阶段法</w:t>
            </w:r>
          </w:p>
        </w:tc>
        <w:tc>
          <w:tcPr>
            <w:tcW w:w="2129" w:type="dxa"/>
            <w:vAlign w:val="center"/>
          </w:tcPr>
          <w:p w14:paraId="409D3480">
            <w:pPr>
              <w:spacing w:line="360" w:lineRule="auto"/>
              <w:rPr>
                <w:rFonts w:hint="default" w:ascii="Times New Roman" w:hAnsi="Times New Roman"/>
                <w:color w:val="000000"/>
                <w:sz w:val="24"/>
                <w:szCs w:val="24"/>
                <w:lang w:val="en-US" w:eastAsia="zh-CN"/>
              </w:rPr>
            </w:pPr>
            <w:r>
              <w:rPr>
                <w:rFonts w:hint="eastAsia" w:ascii="Times New Roman" w:hAnsi="Times New Roman"/>
                <w:color w:val="000000"/>
                <w:sz w:val="24"/>
                <w:szCs w:val="24"/>
                <w:lang w:val="en-US" w:eastAsia="zh-CN"/>
              </w:rPr>
              <w:t>＞1.0</w:t>
            </w:r>
          </w:p>
        </w:tc>
      </w:tr>
      <w:tr w14:paraId="29B07F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486" w:type="dxa"/>
            <w:vMerge w:val="continue"/>
            <w:vAlign w:val="center"/>
          </w:tcPr>
          <w:p w14:paraId="7A5E51A9">
            <w:pPr>
              <w:spacing w:line="360" w:lineRule="auto"/>
              <w:rPr>
                <w:rFonts w:ascii="Times New Roman" w:hAnsi="Times New Roman"/>
                <w:color w:val="000000"/>
                <w:sz w:val="24"/>
                <w:szCs w:val="24"/>
              </w:rPr>
            </w:pPr>
          </w:p>
        </w:tc>
        <w:tc>
          <w:tcPr>
            <w:tcW w:w="4067" w:type="dxa"/>
            <w:vAlign w:val="center"/>
          </w:tcPr>
          <w:p w14:paraId="0F6FB3DD">
            <w:pPr>
              <w:spacing w:line="360" w:lineRule="auto"/>
              <w:rPr>
                <w:rFonts w:ascii="Times New Roman" w:hAnsi="Times New Roman"/>
                <w:color w:val="000000"/>
                <w:sz w:val="24"/>
                <w:szCs w:val="24"/>
              </w:rPr>
            </w:pPr>
            <w:r>
              <w:rPr>
                <w:rFonts w:hint="eastAsia" w:ascii="Times New Roman" w:hAnsi="Times New Roman"/>
                <w:color w:val="000000"/>
                <w:sz w:val="24"/>
                <w:szCs w:val="24"/>
              </w:rPr>
              <w:t>GB/T 21551.4-2024《家用和类似用途电器的抗菌、除菌净化功能第4部分:电冰箱的特殊要求》</w:t>
            </w:r>
          </w:p>
        </w:tc>
        <w:tc>
          <w:tcPr>
            <w:tcW w:w="3000" w:type="dxa"/>
            <w:vAlign w:val="center"/>
          </w:tcPr>
          <w:p w14:paraId="7B0AB669">
            <w:pPr>
              <w:spacing w:line="360" w:lineRule="auto"/>
              <w:rPr>
                <w:rFonts w:hint="default" w:ascii="Times New Roman" w:hAnsi="Times New Roman"/>
                <w:color w:val="000000"/>
                <w:sz w:val="24"/>
                <w:szCs w:val="24"/>
                <w:lang w:val="en-US" w:eastAsia="zh-CN"/>
              </w:rPr>
            </w:pPr>
            <w:r>
              <w:rPr>
                <w:rFonts w:hint="eastAsia" w:ascii="Times New Roman" w:hAnsi="Times New Roman"/>
                <w:color w:val="000000"/>
                <w:sz w:val="24"/>
                <w:szCs w:val="24"/>
                <w:lang w:val="en-US" w:eastAsia="zh-CN"/>
              </w:rPr>
              <w:t>指标：异味净化率</w:t>
            </w:r>
          </w:p>
          <w:p w14:paraId="1F394725">
            <w:pPr>
              <w:spacing w:line="360" w:lineRule="auto"/>
              <w:rPr>
                <w:rFonts w:hint="default" w:ascii="Times New Roman" w:hAnsi="Times New Roman"/>
                <w:color w:val="000000"/>
                <w:sz w:val="24"/>
                <w:szCs w:val="24"/>
                <w:lang w:val="en-US"/>
              </w:rPr>
            </w:pPr>
            <w:r>
              <w:rPr>
                <w:rFonts w:hint="eastAsia" w:ascii="Times New Roman" w:hAnsi="Times New Roman"/>
                <w:color w:val="000000"/>
                <w:sz w:val="24"/>
                <w:szCs w:val="24"/>
                <w:lang w:val="en-US" w:eastAsia="zh-CN"/>
              </w:rPr>
              <w:t>方法：参考HJ 1042</w:t>
            </w:r>
          </w:p>
        </w:tc>
        <w:tc>
          <w:tcPr>
            <w:tcW w:w="2129" w:type="dxa"/>
            <w:vAlign w:val="center"/>
          </w:tcPr>
          <w:p w14:paraId="77AEEDC9">
            <w:pPr>
              <w:spacing w:line="360" w:lineRule="auto"/>
              <w:rPr>
                <w:rFonts w:hint="default" w:ascii="Times New Roman" w:hAnsi="Times New Roman" w:eastAsia="宋体"/>
                <w:color w:val="000000"/>
                <w:sz w:val="24"/>
                <w:szCs w:val="24"/>
                <w:lang w:val="en-US" w:eastAsia="zh-CN"/>
              </w:rPr>
            </w:pPr>
            <w:r>
              <w:rPr>
                <w:rFonts w:hint="eastAsia" w:ascii="Times New Roman" w:hAnsi="Times New Roman"/>
                <w:color w:val="000000"/>
                <w:sz w:val="24"/>
                <w:szCs w:val="24"/>
                <w:lang w:val="en-US" w:eastAsia="zh-CN"/>
              </w:rPr>
              <w:t>≥90%</w:t>
            </w:r>
          </w:p>
        </w:tc>
      </w:tr>
      <w:tr w14:paraId="76843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486" w:type="dxa"/>
            <w:vMerge w:val="continue"/>
            <w:vAlign w:val="center"/>
          </w:tcPr>
          <w:p w14:paraId="1987AE03">
            <w:pPr>
              <w:spacing w:line="360" w:lineRule="auto"/>
              <w:rPr>
                <w:rFonts w:ascii="Times New Roman" w:hAnsi="Times New Roman"/>
                <w:color w:val="000000"/>
                <w:sz w:val="24"/>
                <w:szCs w:val="24"/>
              </w:rPr>
            </w:pPr>
          </w:p>
        </w:tc>
        <w:tc>
          <w:tcPr>
            <w:tcW w:w="4067" w:type="dxa"/>
            <w:vAlign w:val="center"/>
          </w:tcPr>
          <w:p w14:paraId="052B6616">
            <w:pPr>
              <w:spacing w:line="360" w:lineRule="auto"/>
              <w:rPr>
                <w:rFonts w:hint="default" w:ascii="Times New Roman" w:hAnsi="Times New Roman" w:eastAsia="宋体"/>
                <w:color w:val="000000"/>
                <w:sz w:val="24"/>
                <w:szCs w:val="24"/>
                <w:lang w:val="en-US" w:eastAsia="zh-CN"/>
              </w:rPr>
            </w:pPr>
            <w:r>
              <w:rPr>
                <w:rFonts w:hint="eastAsia" w:ascii="Times New Roman" w:hAnsi="Times New Roman"/>
                <w:color w:val="000000"/>
                <w:sz w:val="24"/>
                <w:szCs w:val="24"/>
              </w:rPr>
              <w:t>GB/T 21551.</w:t>
            </w:r>
            <w:r>
              <w:rPr>
                <w:rFonts w:hint="eastAsia" w:ascii="Times New Roman" w:hAnsi="Times New Roman"/>
                <w:color w:val="000000"/>
                <w:sz w:val="24"/>
                <w:szCs w:val="24"/>
                <w:lang w:val="en-US" w:eastAsia="zh-CN"/>
              </w:rPr>
              <w:t>1</w:t>
            </w:r>
            <w:r>
              <w:rPr>
                <w:rFonts w:hint="eastAsia" w:ascii="Times New Roman" w:hAnsi="Times New Roman"/>
                <w:color w:val="000000"/>
                <w:sz w:val="24"/>
                <w:szCs w:val="24"/>
              </w:rPr>
              <w:t>-2024</w:t>
            </w:r>
            <w:r>
              <w:rPr>
                <w:rFonts w:hint="eastAsia" w:ascii="Times New Roman" w:hAnsi="Times New Roman"/>
                <w:color w:val="000000"/>
                <w:sz w:val="24"/>
                <w:szCs w:val="24"/>
                <w:lang w:eastAsia="zh-CN"/>
              </w:rPr>
              <w:t>《家用和类似用途电器的抗菌、除菌、净化功能第1部分:通则》、GB/T 21551.3-2024《家用和类似用途电器的抗菌、除菌、净化功能 空气净化器的特殊要求》</w:t>
            </w:r>
          </w:p>
        </w:tc>
        <w:tc>
          <w:tcPr>
            <w:tcW w:w="3000" w:type="dxa"/>
            <w:vAlign w:val="center"/>
          </w:tcPr>
          <w:p w14:paraId="4060F233">
            <w:pPr>
              <w:spacing w:line="360" w:lineRule="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指标：气味强度差值</w:t>
            </w:r>
          </w:p>
          <w:p w14:paraId="604E3497">
            <w:pPr>
              <w:spacing w:line="360" w:lineRule="auto"/>
              <w:rPr>
                <w:rFonts w:ascii="Times New Roman" w:hAnsi="Times New Roman"/>
                <w:color w:val="000000"/>
                <w:sz w:val="24"/>
                <w:szCs w:val="24"/>
              </w:rPr>
            </w:pPr>
            <w:r>
              <w:rPr>
                <w:rFonts w:hint="eastAsia" w:ascii="Times New Roman" w:hAnsi="Times New Roman"/>
                <w:color w:val="000000"/>
                <w:sz w:val="24"/>
                <w:szCs w:val="24"/>
                <w:lang w:val="en-US" w:eastAsia="zh-CN"/>
              </w:rPr>
              <w:t>方法：0～5六阶段法</w:t>
            </w:r>
          </w:p>
        </w:tc>
        <w:tc>
          <w:tcPr>
            <w:tcW w:w="2129" w:type="dxa"/>
            <w:vAlign w:val="center"/>
          </w:tcPr>
          <w:p w14:paraId="59B6FD87">
            <w:pPr>
              <w:spacing w:line="360" w:lineRule="auto"/>
              <w:rPr>
                <w:rFonts w:hint="eastAsia" w:ascii="Times New Roman" w:hAnsi="Times New Roman"/>
                <w:color w:val="000000"/>
                <w:sz w:val="24"/>
                <w:szCs w:val="24"/>
              </w:rPr>
            </w:pPr>
            <w:r>
              <w:rPr>
                <w:rFonts w:hint="eastAsia" w:ascii="Times New Roman" w:hAnsi="Times New Roman"/>
                <w:color w:val="000000"/>
                <w:sz w:val="24"/>
                <w:szCs w:val="24"/>
                <w:lang w:val="en-US" w:eastAsia="zh-CN"/>
              </w:rPr>
              <w:t>＞1.0</w:t>
            </w:r>
          </w:p>
        </w:tc>
      </w:tr>
      <w:tr w14:paraId="7A867F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486" w:type="dxa"/>
            <w:vMerge w:val="continue"/>
            <w:vAlign w:val="center"/>
          </w:tcPr>
          <w:p w14:paraId="0AB61C30">
            <w:pPr>
              <w:spacing w:line="360" w:lineRule="auto"/>
              <w:rPr>
                <w:rFonts w:ascii="Times New Roman" w:hAnsi="Times New Roman"/>
                <w:color w:val="000000"/>
                <w:sz w:val="24"/>
                <w:szCs w:val="24"/>
              </w:rPr>
            </w:pPr>
          </w:p>
        </w:tc>
        <w:tc>
          <w:tcPr>
            <w:tcW w:w="4067" w:type="dxa"/>
            <w:vAlign w:val="center"/>
          </w:tcPr>
          <w:p w14:paraId="07640FF2">
            <w:pPr>
              <w:spacing w:line="360" w:lineRule="auto"/>
              <w:rPr>
                <w:rFonts w:hint="eastAsia" w:ascii="Times New Roman" w:hAnsi="Times New Roman" w:eastAsia="宋体"/>
                <w:color w:val="000000"/>
                <w:sz w:val="24"/>
                <w:szCs w:val="24"/>
                <w:lang w:eastAsia="zh-CN"/>
              </w:rPr>
            </w:pPr>
            <w:r>
              <w:rPr>
                <w:rFonts w:hint="eastAsia" w:ascii="Times New Roman" w:hAnsi="Times New Roman"/>
                <w:color w:val="000000"/>
                <w:sz w:val="24"/>
                <w:szCs w:val="24"/>
              </w:rPr>
              <w:t>QB/T 5994-2024</w:t>
            </w:r>
            <w:r>
              <w:rPr>
                <w:rFonts w:hint="eastAsia" w:ascii="Times New Roman" w:hAnsi="Times New Roman"/>
                <w:color w:val="000000"/>
                <w:sz w:val="24"/>
                <w:szCs w:val="24"/>
                <w:lang w:eastAsia="zh-CN"/>
              </w:rPr>
              <w:t>《</w:t>
            </w:r>
            <w:r>
              <w:rPr>
                <w:rFonts w:hint="eastAsia" w:ascii="Times New Roman" w:hAnsi="Times New Roman"/>
                <w:color w:val="000000"/>
                <w:sz w:val="24"/>
                <w:szCs w:val="24"/>
                <w:lang w:val="en-US" w:eastAsia="zh-CN"/>
              </w:rPr>
              <w:t>除味喷雾剂</w:t>
            </w:r>
            <w:r>
              <w:rPr>
                <w:rFonts w:hint="eastAsia" w:ascii="Times New Roman" w:hAnsi="Times New Roman"/>
                <w:color w:val="000000"/>
                <w:sz w:val="24"/>
                <w:szCs w:val="24"/>
                <w:lang w:eastAsia="zh-CN"/>
              </w:rPr>
              <w:t>》</w:t>
            </w:r>
          </w:p>
        </w:tc>
        <w:tc>
          <w:tcPr>
            <w:tcW w:w="3000" w:type="dxa"/>
            <w:vAlign w:val="center"/>
          </w:tcPr>
          <w:p w14:paraId="110EEF71">
            <w:pPr>
              <w:spacing w:line="360" w:lineRule="auto"/>
              <w:rPr>
                <w:rFonts w:hint="default" w:ascii="Times New Roman" w:hAnsi="Times New Roman"/>
                <w:color w:val="000000"/>
                <w:sz w:val="24"/>
                <w:szCs w:val="24"/>
                <w:lang w:val="en-US" w:eastAsia="zh-CN"/>
              </w:rPr>
            </w:pPr>
            <w:r>
              <w:rPr>
                <w:rFonts w:hint="eastAsia" w:ascii="Times New Roman" w:hAnsi="Times New Roman"/>
                <w:color w:val="000000"/>
                <w:sz w:val="24"/>
                <w:szCs w:val="24"/>
                <w:lang w:val="en-US" w:eastAsia="zh-CN"/>
              </w:rPr>
              <w:t>指标：除味效果评分</w:t>
            </w:r>
          </w:p>
          <w:p w14:paraId="628AE297">
            <w:pPr>
              <w:spacing w:line="360" w:lineRule="auto"/>
              <w:rPr>
                <w:rFonts w:ascii="Times New Roman" w:hAnsi="Times New Roman"/>
                <w:color w:val="000000"/>
                <w:sz w:val="24"/>
                <w:szCs w:val="24"/>
              </w:rPr>
            </w:pPr>
            <w:r>
              <w:rPr>
                <w:rFonts w:hint="eastAsia" w:ascii="Times New Roman" w:hAnsi="Times New Roman"/>
                <w:color w:val="000000"/>
                <w:sz w:val="24"/>
                <w:szCs w:val="24"/>
                <w:lang w:val="en-US" w:eastAsia="zh-CN"/>
              </w:rPr>
              <w:t>方法：0～5四阶段法</w:t>
            </w:r>
          </w:p>
        </w:tc>
        <w:tc>
          <w:tcPr>
            <w:tcW w:w="2129" w:type="dxa"/>
            <w:vAlign w:val="center"/>
          </w:tcPr>
          <w:p w14:paraId="129FC9CB">
            <w:pPr>
              <w:spacing w:line="360" w:lineRule="auto"/>
              <w:rPr>
                <w:rFonts w:hint="default" w:ascii="Times New Roman" w:hAnsi="Times New Roman"/>
                <w:color w:val="000000"/>
                <w:sz w:val="24"/>
                <w:szCs w:val="24"/>
                <w:lang w:val="en-US"/>
              </w:rPr>
            </w:pPr>
            <w:r>
              <w:rPr>
                <w:rFonts w:hint="eastAsia" w:ascii="Times New Roman" w:hAnsi="Times New Roman"/>
                <w:color w:val="000000"/>
                <w:sz w:val="24"/>
                <w:szCs w:val="24"/>
                <w:lang w:val="en-US" w:eastAsia="zh-CN"/>
              </w:rPr>
              <w:t>＞2.5</w:t>
            </w:r>
          </w:p>
        </w:tc>
      </w:tr>
      <w:tr w14:paraId="39CDC2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486" w:type="dxa"/>
            <w:vMerge w:val="continue"/>
            <w:vAlign w:val="center"/>
          </w:tcPr>
          <w:p w14:paraId="16FE7CBE">
            <w:pPr>
              <w:spacing w:line="360" w:lineRule="auto"/>
              <w:rPr>
                <w:rFonts w:ascii="Times New Roman" w:hAnsi="Times New Roman"/>
                <w:color w:val="000000"/>
                <w:sz w:val="24"/>
                <w:szCs w:val="24"/>
              </w:rPr>
            </w:pPr>
          </w:p>
        </w:tc>
        <w:tc>
          <w:tcPr>
            <w:tcW w:w="4067" w:type="dxa"/>
            <w:vAlign w:val="center"/>
          </w:tcPr>
          <w:p w14:paraId="3C045426">
            <w:pPr>
              <w:spacing w:line="360" w:lineRule="auto"/>
              <w:rPr>
                <w:rFonts w:ascii="Times New Roman" w:hAnsi="Times New Roman"/>
                <w:color w:val="000000"/>
                <w:sz w:val="24"/>
                <w:szCs w:val="24"/>
              </w:rPr>
            </w:pPr>
            <w:r>
              <w:rPr>
                <w:rFonts w:hint="eastAsia" w:ascii="Times New Roman" w:hAnsi="Times New Roman"/>
                <w:color w:val="000000"/>
                <w:sz w:val="24"/>
                <w:szCs w:val="24"/>
              </w:rPr>
              <w:t>T/CI XXX-2024《宠物环境空气净化器》</w:t>
            </w:r>
          </w:p>
        </w:tc>
        <w:tc>
          <w:tcPr>
            <w:tcW w:w="3000" w:type="dxa"/>
            <w:vAlign w:val="center"/>
          </w:tcPr>
          <w:p w14:paraId="04F8ACC3">
            <w:pPr>
              <w:spacing w:line="360" w:lineRule="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指标：气味强度差值</w:t>
            </w:r>
          </w:p>
          <w:p w14:paraId="1B224A5E">
            <w:pPr>
              <w:spacing w:line="360" w:lineRule="auto"/>
              <w:rPr>
                <w:rFonts w:ascii="Times New Roman" w:hAnsi="Times New Roman"/>
                <w:color w:val="000000"/>
                <w:sz w:val="24"/>
                <w:szCs w:val="24"/>
              </w:rPr>
            </w:pPr>
            <w:r>
              <w:rPr>
                <w:rFonts w:hint="eastAsia" w:ascii="Times New Roman" w:hAnsi="Times New Roman"/>
                <w:color w:val="000000"/>
                <w:sz w:val="24"/>
                <w:szCs w:val="24"/>
                <w:lang w:val="en-US" w:eastAsia="zh-CN"/>
              </w:rPr>
              <w:t>方法：0～5六阶段法</w:t>
            </w:r>
          </w:p>
        </w:tc>
        <w:tc>
          <w:tcPr>
            <w:tcW w:w="2129" w:type="dxa"/>
            <w:vAlign w:val="center"/>
          </w:tcPr>
          <w:p w14:paraId="33F41368">
            <w:pPr>
              <w:spacing w:line="360" w:lineRule="auto"/>
              <w:rPr>
                <w:rFonts w:hint="eastAsia" w:ascii="Times New Roman" w:hAnsi="Times New Roman"/>
                <w:color w:val="000000"/>
                <w:sz w:val="24"/>
                <w:szCs w:val="24"/>
              </w:rPr>
            </w:pPr>
            <w:r>
              <w:rPr>
                <w:rFonts w:hint="eastAsia" w:ascii="Times New Roman" w:hAnsi="Times New Roman"/>
                <w:color w:val="000000"/>
                <w:sz w:val="24"/>
                <w:szCs w:val="24"/>
                <w:lang w:val="en-US" w:eastAsia="zh-CN"/>
              </w:rPr>
              <w:t>＞1.5</w:t>
            </w:r>
          </w:p>
        </w:tc>
      </w:tr>
      <w:tr w14:paraId="3398AD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486" w:type="dxa"/>
            <w:vMerge w:val="continue"/>
            <w:vAlign w:val="center"/>
          </w:tcPr>
          <w:p w14:paraId="715DDCA8">
            <w:pPr>
              <w:spacing w:line="360" w:lineRule="auto"/>
              <w:rPr>
                <w:rFonts w:ascii="Times New Roman" w:hAnsi="Times New Roman"/>
                <w:color w:val="000000"/>
                <w:sz w:val="24"/>
                <w:szCs w:val="24"/>
              </w:rPr>
            </w:pPr>
          </w:p>
        </w:tc>
        <w:tc>
          <w:tcPr>
            <w:tcW w:w="4067" w:type="dxa"/>
            <w:vAlign w:val="center"/>
          </w:tcPr>
          <w:p w14:paraId="31305E21">
            <w:pPr>
              <w:spacing w:line="360" w:lineRule="auto"/>
              <w:rPr>
                <w:rFonts w:hint="eastAsia" w:ascii="Times New Roman" w:hAnsi="Times New Roman"/>
                <w:color w:val="000000"/>
                <w:sz w:val="24"/>
                <w:szCs w:val="24"/>
              </w:rPr>
            </w:pPr>
            <w:r>
              <w:rPr>
                <w:rFonts w:hint="eastAsia" w:ascii="Times New Roman" w:hAnsi="Times New Roman"/>
                <w:color w:val="000000"/>
                <w:sz w:val="24"/>
                <w:szCs w:val="24"/>
              </w:rPr>
              <w:t>T/CHCIA 018-2023</w:t>
            </w:r>
            <w:r>
              <w:rPr>
                <w:rFonts w:hint="eastAsia" w:ascii="Times New Roman" w:hAnsi="Times New Roman"/>
                <w:color w:val="000000"/>
                <w:sz w:val="24"/>
                <w:szCs w:val="24"/>
                <w:lang w:eastAsia="zh-CN"/>
              </w:rPr>
              <w:t>《香氛除味产品除味效果评价方法》</w:t>
            </w:r>
          </w:p>
        </w:tc>
        <w:tc>
          <w:tcPr>
            <w:tcW w:w="3000" w:type="dxa"/>
            <w:vAlign w:val="center"/>
          </w:tcPr>
          <w:p w14:paraId="14B487AD">
            <w:pPr>
              <w:spacing w:line="360" w:lineRule="auto"/>
              <w:rPr>
                <w:rFonts w:hint="default" w:ascii="Times New Roman" w:hAnsi="Times New Roman"/>
                <w:color w:val="000000"/>
                <w:sz w:val="24"/>
                <w:szCs w:val="24"/>
                <w:lang w:val="en-US" w:eastAsia="zh-CN"/>
              </w:rPr>
            </w:pPr>
            <w:r>
              <w:rPr>
                <w:rFonts w:hint="eastAsia" w:ascii="Times New Roman" w:hAnsi="Times New Roman"/>
                <w:color w:val="000000"/>
                <w:sz w:val="24"/>
                <w:szCs w:val="24"/>
                <w:lang w:val="en-US" w:eastAsia="zh-CN"/>
              </w:rPr>
              <w:t>方法：感官评价法</w:t>
            </w:r>
          </w:p>
        </w:tc>
        <w:tc>
          <w:tcPr>
            <w:tcW w:w="2129" w:type="dxa"/>
            <w:vAlign w:val="center"/>
          </w:tcPr>
          <w:p w14:paraId="6115F169">
            <w:pPr>
              <w:spacing w:line="360" w:lineRule="auto"/>
              <w:rPr>
                <w:rFonts w:hint="default" w:ascii="Times New Roman" w:hAnsi="Times New Roman"/>
                <w:color w:val="000000"/>
                <w:sz w:val="24"/>
                <w:szCs w:val="24"/>
                <w:lang w:val="en-US" w:eastAsia="zh-CN"/>
              </w:rPr>
            </w:pPr>
            <w:r>
              <w:rPr>
                <w:rFonts w:hint="eastAsia" w:ascii="Times New Roman" w:hAnsi="Times New Roman"/>
                <w:color w:val="000000"/>
                <w:sz w:val="24"/>
                <w:szCs w:val="24"/>
                <w:lang w:val="en-US" w:eastAsia="zh-CN"/>
              </w:rPr>
              <w:t>不公开</w:t>
            </w:r>
          </w:p>
        </w:tc>
      </w:tr>
      <w:tr w14:paraId="6ADDD7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486" w:type="dxa"/>
            <w:vMerge w:val="continue"/>
            <w:vAlign w:val="center"/>
          </w:tcPr>
          <w:p w14:paraId="1F270009">
            <w:pPr>
              <w:spacing w:line="360" w:lineRule="auto"/>
              <w:rPr>
                <w:rFonts w:ascii="Times New Roman" w:hAnsi="Times New Roman"/>
                <w:color w:val="000000"/>
                <w:sz w:val="24"/>
                <w:szCs w:val="24"/>
              </w:rPr>
            </w:pPr>
          </w:p>
        </w:tc>
        <w:tc>
          <w:tcPr>
            <w:tcW w:w="4067" w:type="dxa"/>
            <w:vAlign w:val="center"/>
          </w:tcPr>
          <w:p w14:paraId="5B26E151">
            <w:pPr>
              <w:spacing w:line="360" w:lineRule="auto"/>
              <w:rPr>
                <w:rFonts w:hint="eastAsia" w:ascii="Times New Roman" w:hAnsi="Times New Roman"/>
                <w:color w:val="000000"/>
                <w:sz w:val="24"/>
                <w:szCs w:val="24"/>
              </w:rPr>
            </w:pPr>
            <w:r>
              <w:rPr>
                <w:rFonts w:hint="eastAsia" w:ascii="Times New Roman" w:hAnsi="Times New Roman"/>
                <w:color w:val="000000"/>
                <w:sz w:val="24"/>
                <w:szCs w:val="24"/>
              </w:rPr>
              <w:t>T/GDC 108-2021 家用冰箱食材气味净化评价方法</w:t>
            </w:r>
          </w:p>
        </w:tc>
        <w:tc>
          <w:tcPr>
            <w:tcW w:w="3000" w:type="dxa"/>
            <w:vAlign w:val="center"/>
          </w:tcPr>
          <w:p w14:paraId="39D42585">
            <w:pPr>
              <w:spacing w:line="360" w:lineRule="auto"/>
              <w:rPr>
                <w:rFonts w:hint="default" w:ascii="Times New Roman" w:hAnsi="Times New Roman"/>
                <w:color w:val="000000"/>
                <w:sz w:val="24"/>
                <w:szCs w:val="24"/>
                <w:lang w:val="en-US" w:eastAsia="zh-CN"/>
              </w:rPr>
            </w:pPr>
            <w:r>
              <w:rPr>
                <w:rFonts w:hint="eastAsia" w:ascii="Times New Roman" w:hAnsi="Times New Roman"/>
                <w:color w:val="000000"/>
                <w:sz w:val="24"/>
                <w:szCs w:val="24"/>
                <w:lang w:val="en-US" w:eastAsia="zh-CN"/>
              </w:rPr>
              <w:t>不公开</w:t>
            </w:r>
          </w:p>
        </w:tc>
        <w:tc>
          <w:tcPr>
            <w:tcW w:w="2129" w:type="dxa"/>
            <w:vAlign w:val="center"/>
          </w:tcPr>
          <w:p w14:paraId="4884A0B9">
            <w:pPr>
              <w:spacing w:line="360" w:lineRule="auto"/>
              <w:rPr>
                <w:rFonts w:hint="eastAsia" w:ascii="Times New Roman" w:hAnsi="Times New Roman"/>
                <w:color w:val="000000"/>
                <w:sz w:val="24"/>
                <w:szCs w:val="24"/>
                <w:lang w:val="en-US" w:eastAsia="zh-CN"/>
              </w:rPr>
            </w:pPr>
            <w:r>
              <w:rPr>
                <w:rFonts w:hint="eastAsia" w:ascii="Times New Roman" w:hAnsi="Times New Roman"/>
                <w:color w:val="000000"/>
                <w:sz w:val="24"/>
                <w:szCs w:val="24"/>
                <w:lang w:val="en-US" w:eastAsia="zh-CN"/>
              </w:rPr>
              <w:t>不公开</w:t>
            </w:r>
          </w:p>
        </w:tc>
      </w:tr>
      <w:tr w14:paraId="05B0F0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486" w:type="dxa"/>
            <w:vMerge w:val="restart"/>
            <w:vAlign w:val="center"/>
          </w:tcPr>
          <w:p w14:paraId="5D21D3DE">
            <w:pPr>
              <w:spacing w:line="360" w:lineRule="auto"/>
              <w:rPr>
                <w:rFonts w:hint="default" w:ascii="Times New Roman" w:hAnsi="Times New Roman" w:eastAsia="宋体"/>
                <w:color w:val="000000"/>
                <w:sz w:val="24"/>
                <w:szCs w:val="24"/>
                <w:lang w:val="en-US" w:eastAsia="zh-CN"/>
              </w:rPr>
            </w:pPr>
            <w:r>
              <w:rPr>
                <w:rFonts w:hint="eastAsia" w:ascii="Times New Roman" w:hAnsi="Times New Roman"/>
                <w:color w:val="000000"/>
                <w:sz w:val="24"/>
                <w:szCs w:val="24"/>
                <w:lang w:val="en-US" w:eastAsia="zh-CN"/>
              </w:rPr>
              <w:t>化学评价方法</w:t>
            </w:r>
          </w:p>
        </w:tc>
        <w:tc>
          <w:tcPr>
            <w:tcW w:w="4067" w:type="dxa"/>
            <w:vAlign w:val="center"/>
          </w:tcPr>
          <w:p w14:paraId="75C9D080">
            <w:pPr>
              <w:spacing w:line="360" w:lineRule="auto"/>
              <w:rPr>
                <w:rFonts w:ascii="Times New Roman" w:hAnsi="Times New Roman"/>
                <w:color w:val="000000"/>
                <w:sz w:val="24"/>
                <w:szCs w:val="24"/>
              </w:rPr>
            </w:pPr>
            <w:r>
              <w:rPr>
                <w:rFonts w:hint="eastAsia" w:ascii="Times New Roman" w:hAnsi="Times New Roman"/>
                <w:color w:val="000000"/>
                <w:sz w:val="24"/>
                <w:szCs w:val="24"/>
              </w:rPr>
              <w:t>QB/T 2761-2006《室内空气净化产品净化效果测定方法》</w:t>
            </w:r>
          </w:p>
        </w:tc>
        <w:tc>
          <w:tcPr>
            <w:tcW w:w="3000" w:type="dxa"/>
            <w:vAlign w:val="center"/>
          </w:tcPr>
          <w:p w14:paraId="5A50AB12">
            <w:pPr>
              <w:spacing w:line="360" w:lineRule="auto"/>
              <w:rPr>
                <w:rFonts w:ascii="Times New Roman" w:hAnsi="Times New Roman"/>
                <w:color w:val="000000"/>
                <w:sz w:val="24"/>
                <w:szCs w:val="24"/>
              </w:rPr>
            </w:pPr>
            <w:r>
              <w:rPr>
                <w:rFonts w:hint="eastAsia" w:ascii="Times New Roman" w:hAnsi="Times New Roman"/>
                <w:color w:val="000000"/>
                <w:sz w:val="24"/>
                <w:szCs w:val="24"/>
              </w:rPr>
              <w:t>污染物去除率</w:t>
            </w:r>
          </w:p>
        </w:tc>
        <w:tc>
          <w:tcPr>
            <w:tcW w:w="2129" w:type="dxa"/>
            <w:vAlign w:val="center"/>
          </w:tcPr>
          <w:p w14:paraId="72E5679D">
            <w:pPr>
              <w:spacing w:line="360" w:lineRule="auto"/>
              <w:rPr>
                <w:rFonts w:hint="eastAsia" w:ascii="Times New Roman" w:hAnsi="Times New Roman" w:eastAsia="宋体"/>
                <w:color w:val="000000"/>
                <w:sz w:val="24"/>
                <w:szCs w:val="24"/>
                <w:lang w:val="en-US" w:eastAsia="zh-CN"/>
              </w:rPr>
            </w:pPr>
            <w:r>
              <w:rPr>
                <w:rFonts w:hint="eastAsia" w:ascii="Times New Roman" w:hAnsi="Times New Roman"/>
                <w:color w:val="000000"/>
                <w:sz w:val="24"/>
                <w:szCs w:val="24"/>
                <w:lang w:val="en-US" w:eastAsia="zh-CN"/>
              </w:rPr>
              <w:t>略</w:t>
            </w:r>
          </w:p>
        </w:tc>
      </w:tr>
      <w:tr w14:paraId="72AAF4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5" w:hRule="atLeast"/>
        </w:trPr>
        <w:tc>
          <w:tcPr>
            <w:tcW w:w="486" w:type="dxa"/>
            <w:vMerge w:val="continue"/>
            <w:vAlign w:val="center"/>
          </w:tcPr>
          <w:p w14:paraId="4C43ACB8">
            <w:pPr>
              <w:spacing w:line="360" w:lineRule="auto"/>
              <w:rPr>
                <w:rFonts w:ascii="Times New Roman" w:hAnsi="Times New Roman"/>
                <w:color w:val="000000"/>
                <w:sz w:val="24"/>
                <w:szCs w:val="24"/>
              </w:rPr>
            </w:pPr>
          </w:p>
        </w:tc>
        <w:tc>
          <w:tcPr>
            <w:tcW w:w="4067" w:type="dxa"/>
            <w:vAlign w:val="center"/>
          </w:tcPr>
          <w:p w14:paraId="5B45E9E1">
            <w:pPr>
              <w:spacing w:line="360" w:lineRule="auto"/>
              <w:rPr>
                <w:rFonts w:ascii="Times New Roman" w:hAnsi="Times New Roman"/>
                <w:color w:val="000000"/>
                <w:sz w:val="24"/>
                <w:szCs w:val="24"/>
              </w:rPr>
            </w:pPr>
            <w:r>
              <w:rPr>
                <w:rFonts w:hint="eastAsia" w:ascii="Times New Roman" w:hAnsi="Times New Roman"/>
                <w:color w:val="000000"/>
                <w:sz w:val="24"/>
                <w:szCs w:val="24"/>
              </w:rPr>
              <w:t>JC/T 1074-2008 《室内空气净化功能涂覆材料净化性能》</w:t>
            </w:r>
          </w:p>
        </w:tc>
        <w:tc>
          <w:tcPr>
            <w:tcW w:w="3000" w:type="dxa"/>
            <w:vAlign w:val="center"/>
          </w:tcPr>
          <w:p w14:paraId="242A512E">
            <w:pPr>
              <w:spacing w:line="360" w:lineRule="auto"/>
              <w:rPr>
                <w:rFonts w:ascii="Times New Roman" w:hAnsi="Times New Roman"/>
                <w:color w:val="000000"/>
                <w:sz w:val="24"/>
                <w:szCs w:val="24"/>
              </w:rPr>
            </w:pPr>
            <w:r>
              <w:rPr>
                <w:rFonts w:hint="eastAsia" w:ascii="Times New Roman" w:hAnsi="Times New Roman"/>
                <w:color w:val="000000"/>
                <w:sz w:val="24"/>
                <w:szCs w:val="24"/>
              </w:rPr>
              <w:t>净化率、净化效果持久性</w:t>
            </w:r>
          </w:p>
        </w:tc>
        <w:tc>
          <w:tcPr>
            <w:tcW w:w="2129" w:type="dxa"/>
            <w:vAlign w:val="center"/>
          </w:tcPr>
          <w:p w14:paraId="6DC084B3">
            <w:pPr>
              <w:spacing w:line="360" w:lineRule="auto"/>
              <w:rPr>
                <w:rFonts w:hint="eastAsia" w:ascii="Times New Roman" w:hAnsi="Times New Roman"/>
                <w:color w:val="000000"/>
                <w:sz w:val="24"/>
                <w:szCs w:val="24"/>
              </w:rPr>
            </w:pPr>
            <w:r>
              <w:rPr>
                <w:rFonts w:hint="eastAsia" w:ascii="Times New Roman" w:hAnsi="Times New Roman"/>
                <w:color w:val="000000"/>
                <w:sz w:val="24"/>
                <w:szCs w:val="24"/>
                <w:lang w:val="en-US" w:eastAsia="zh-CN"/>
              </w:rPr>
              <w:t>略</w:t>
            </w:r>
          </w:p>
        </w:tc>
      </w:tr>
      <w:tr w14:paraId="762871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486" w:type="dxa"/>
            <w:vMerge w:val="continue"/>
            <w:vAlign w:val="center"/>
          </w:tcPr>
          <w:p w14:paraId="6D558243">
            <w:pPr>
              <w:spacing w:line="360" w:lineRule="auto"/>
              <w:rPr>
                <w:rFonts w:ascii="Times New Roman" w:hAnsi="Times New Roman"/>
                <w:color w:val="000000"/>
                <w:sz w:val="24"/>
                <w:szCs w:val="24"/>
              </w:rPr>
            </w:pPr>
          </w:p>
        </w:tc>
        <w:tc>
          <w:tcPr>
            <w:tcW w:w="4067" w:type="dxa"/>
            <w:vAlign w:val="center"/>
          </w:tcPr>
          <w:p w14:paraId="0473247A">
            <w:pPr>
              <w:spacing w:line="360" w:lineRule="auto"/>
              <w:rPr>
                <w:rFonts w:ascii="Times New Roman" w:hAnsi="Times New Roman"/>
                <w:color w:val="000000"/>
                <w:sz w:val="24"/>
                <w:szCs w:val="24"/>
              </w:rPr>
            </w:pPr>
            <w:r>
              <w:rPr>
                <w:rFonts w:hint="eastAsia" w:ascii="Times New Roman" w:hAnsi="Times New Roman"/>
                <w:color w:val="000000"/>
                <w:sz w:val="24"/>
                <w:szCs w:val="24"/>
              </w:rPr>
              <w:t>DB 13/T 2588-2017《被动式室内空气净化产品净化效果测定方法》</w:t>
            </w:r>
          </w:p>
        </w:tc>
        <w:tc>
          <w:tcPr>
            <w:tcW w:w="3000" w:type="dxa"/>
            <w:vAlign w:val="center"/>
          </w:tcPr>
          <w:p w14:paraId="504B1198">
            <w:pPr>
              <w:spacing w:line="360" w:lineRule="auto"/>
              <w:rPr>
                <w:rFonts w:ascii="Times New Roman" w:hAnsi="Times New Roman"/>
                <w:color w:val="000000"/>
                <w:sz w:val="24"/>
                <w:szCs w:val="24"/>
              </w:rPr>
            </w:pPr>
            <w:r>
              <w:rPr>
                <w:rFonts w:hint="eastAsia" w:ascii="Times New Roman" w:hAnsi="Times New Roman"/>
                <w:color w:val="000000"/>
                <w:sz w:val="24"/>
                <w:szCs w:val="24"/>
              </w:rPr>
              <w:t>污染物去除率</w:t>
            </w:r>
          </w:p>
        </w:tc>
        <w:tc>
          <w:tcPr>
            <w:tcW w:w="2129" w:type="dxa"/>
            <w:vAlign w:val="center"/>
          </w:tcPr>
          <w:p w14:paraId="3081B491">
            <w:pPr>
              <w:spacing w:line="360" w:lineRule="auto"/>
              <w:rPr>
                <w:rFonts w:hint="eastAsia" w:ascii="Times New Roman" w:hAnsi="Times New Roman"/>
                <w:color w:val="000000"/>
                <w:sz w:val="24"/>
                <w:szCs w:val="24"/>
              </w:rPr>
            </w:pPr>
            <w:r>
              <w:rPr>
                <w:rFonts w:hint="eastAsia" w:ascii="Times New Roman" w:hAnsi="Times New Roman"/>
                <w:color w:val="000000"/>
                <w:sz w:val="24"/>
                <w:szCs w:val="24"/>
                <w:lang w:val="en-US" w:eastAsia="zh-CN"/>
              </w:rPr>
              <w:t>略</w:t>
            </w:r>
          </w:p>
        </w:tc>
      </w:tr>
      <w:tr w14:paraId="43362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486" w:type="dxa"/>
            <w:vMerge w:val="continue"/>
            <w:vAlign w:val="center"/>
          </w:tcPr>
          <w:p w14:paraId="6BC978E4">
            <w:pPr>
              <w:spacing w:line="360" w:lineRule="auto"/>
              <w:rPr>
                <w:rFonts w:ascii="Times New Roman" w:hAnsi="Times New Roman"/>
                <w:color w:val="000000"/>
                <w:sz w:val="24"/>
                <w:szCs w:val="24"/>
              </w:rPr>
            </w:pPr>
          </w:p>
        </w:tc>
        <w:tc>
          <w:tcPr>
            <w:tcW w:w="4067" w:type="dxa"/>
            <w:vAlign w:val="center"/>
          </w:tcPr>
          <w:p w14:paraId="37898396">
            <w:pPr>
              <w:spacing w:line="360" w:lineRule="auto"/>
              <w:rPr>
                <w:rFonts w:hint="eastAsia" w:ascii="Times New Roman" w:hAnsi="Times New Roman"/>
                <w:color w:val="000000"/>
                <w:sz w:val="24"/>
                <w:szCs w:val="24"/>
              </w:rPr>
            </w:pPr>
            <w:r>
              <w:rPr>
                <w:rFonts w:hint="eastAsia" w:ascii="Times New Roman" w:hAnsi="Times New Roman"/>
                <w:color w:val="000000"/>
                <w:sz w:val="24"/>
                <w:szCs w:val="24"/>
              </w:rPr>
              <w:t>JC/T 2188-2013《室内空气净化吸附材料净化性能》</w:t>
            </w:r>
          </w:p>
        </w:tc>
        <w:tc>
          <w:tcPr>
            <w:tcW w:w="3000" w:type="dxa"/>
            <w:vAlign w:val="center"/>
          </w:tcPr>
          <w:p w14:paraId="2FDBC2F3">
            <w:pPr>
              <w:spacing w:line="360" w:lineRule="auto"/>
              <w:rPr>
                <w:rFonts w:hint="eastAsia" w:ascii="Times New Roman" w:hAnsi="Times New Roman"/>
                <w:color w:val="000000"/>
                <w:sz w:val="24"/>
                <w:szCs w:val="24"/>
              </w:rPr>
            </w:pPr>
            <w:r>
              <w:rPr>
                <w:rFonts w:hint="eastAsia" w:ascii="Times New Roman" w:hAnsi="Times New Roman"/>
                <w:color w:val="000000"/>
                <w:sz w:val="24"/>
                <w:szCs w:val="24"/>
              </w:rPr>
              <w:t>吸附量、净化效率</w:t>
            </w:r>
          </w:p>
        </w:tc>
        <w:tc>
          <w:tcPr>
            <w:tcW w:w="2129" w:type="dxa"/>
            <w:vAlign w:val="center"/>
          </w:tcPr>
          <w:p w14:paraId="40F823BF">
            <w:pPr>
              <w:spacing w:line="360" w:lineRule="auto"/>
              <w:rPr>
                <w:rFonts w:hint="eastAsia" w:ascii="Times New Roman" w:hAnsi="Times New Roman"/>
                <w:color w:val="000000"/>
                <w:sz w:val="24"/>
                <w:szCs w:val="24"/>
              </w:rPr>
            </w:pPr>
            <w:r>
              <w:rPr>
                <w:rFonts w:hint="eastAsia" w:ascii="Times New Roman" w:hAnsi="Times New Roman"/>
                <w:color w:val="000000"/>
                <w:sz w:val="24"/>
                <w:szCs w:val="24"/>
                <w:lang w:val="en-US" w:eastAsia="zh-CN"/>
              </w:rPr>
              <w:t>略</w:t>
            </w:r>
          </w:p>
        </w:tc>
      </w:tr>
      <w:tr w14:paraId="4C4ED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486" w:type="dxa"/>
            <w:vMerge w:val="continue"/>
            <w:vAlign w:val="center"/>
          </w:tcPr>
          <w:p w14:paraId="3F93A4F3">
            <w:pPr>
              <w:spacing w:line="360" w:lineRule="auto"/>
              <w:rPr>
                <w:rFonts w:ascii="Times New Roman" w:hAnsi="Times New Roman"/>
                <w:color w:val="000000"/>
                <w:sz w:val="24"/>
                <w:szCs w:val="24"/>
              </w:rPr>
            </w:pPr>
          </w:p>
        </w:tc>
        <w:tc>
          <w:tcPr>
            <w:tcW w:w="4067" w:type="dxa"/>
            <w:vAlign w:val="center"/>
          </w:tcPr>
          <w:p w14:paraId="3B8094CA">
            <w:pPr>
              <w:spacing w:line="360" w:lineRule="auto"/>
              <w:rPr>
                <w:rFonts w:hint="eastAsia" w:ascii="Times New Roman" w:hAnsi="Times New Roman"/>
                <w:color w:val="000000"/>
                <w:sz w:val="24"/>
                <w:szCs w:val="24"/>
              </w:rPr>
            </w:pPr>
            <w:r>
              <w:rPr>
                <w:rFonts w:hint="eastAsia" w:ascii="Times New Roman" w:hAnsi="Times New Roman"/>
                <w:color w:val="000000"/>
                <w:sz w:val="24"/>
                <w:szCs w:val="24"/>
              </w:rPr>
              <w:t>LY/T 3012-2018《室内空气净化用活性炭》</w:t>
            </w:r>
          </w:p>
        </w:tc>
        <w:tc>
          <w:tcPr>
            <w:tcW w:w="3000" w:type="dxa"/>
            <w:vAlign w:val="center"/>
          </w:tcPr>
          <w:p w14:paraId="4D09C9AF">
            <w:pPr>
              <w:spacing w:line="360" w:lineRule="auto"/>
              <w:rPr>
                <w:rFonts w:hint="eastAsia" w:ascii="Times New Roman" w:hAnsi="Times New Roman"/>
                <w:color w:val="000000"/>
                <w:sz w:val="24"/>
                <w:szCs w:val="24"/>
              </w:rPr>
            </w:pPr>
            <w:r>
              <w:rPr>
                <w:rFonts w:hint="eastAsia" w:ascii="Times New Roman" w:hAnsi="Times New Roman"/>
                <w:color w:val="000000"/>
                <w:sz w:val="24"/>
                <w:szCs w:val="24"/>
              </w:rPr>
              <w:t>甲醛、苯、四氯化碳吸附率</w:t>
            </w:r>
          </w:p>
        </w:tc>
        <w:tc>
          <w:tcPr>
            <w:tcW w:w="2129" w:type="dxa"/>
            <w:vAlign w:val="center"/>
          </w:tcPr>
          <w:p w14:paraId="2617DBD3">
            <w:pPr>
              <w:spacing w:line="360" w:lineRule="auto"/>
              <w:rPr>
                <w:rFonts w:hint="eastAsia" w:ascii="Times New Roman" w:hAnsi="Times New Roman"/>
                <w:color w:val="000000"/>
                <w:sz w:val="24"/>
                <w:szCs w:val="24"/>
              </w:rPr>
            </w:pPr>
            <w:r>
              <w:rPr>
                <w:rFonts w:hint="eastAsia" w:ascii="Times New Roman" w:hAnsi="Times New Roman"/>
                <w:color w:val="000000"/>
                <w:sz w:val="24"/>
                <w:szCs w:val="24"/>
                <w:lang w:val="en-US" w:eastAsia="zh-CN"/>
              </w:rPr>
              <w:t>略</w:t>
            </w:r>
          </w:p>
        </w:tc>
      </w:tr>
      <w:tr w14:paraId="5159F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486" w:type="dxa"/>
            <w:vMerge w:val="continue"/>
            <w:vAlign w:val="center"/>
          </w:tcPr>
          <w:p w14:paraId="2A0A1787">
            <w:pPr>
              <w:spacing w:line="360" w:lineRule="auto"/>
              <w:rPr>
                <w:rFonts w:ascii="Times New Roman" w:hAnsi="Times New Roman"/>
                <w:color w:val="000000"/>
                <w:sz w:val="24"/>
                <w:szCs w:val="24"/>
              </w:rPr>
            </w:pPr>
          </w:p>
        </w:tc>
        <w:tc>
          <w:tcPr>
            <w:tcW w:w="4067" w:type="dxa"/>
            <w:vAlign w:val="center"/>
          </w:tcPr>
          <w:p w14:paraId="118873E7">
            <w:pPr>
              <w:spacing w:line="360" w:lineRule="auto"/>
              <w:rPr>
                <w:rFonts w:hint="eastAsia" w:ascii="Times New Roman" w:hAnsi="Times New Roman" w:eastAsia="宋体"/>
                <w:color w:val="000000"/>
                <w:sz w:val="24"/>
                <w:szCs w:val="24"/>
                <w:lang w:eastAsia="zh-CN"/>
              </w:rPr>
            </w:pPr>
            <w:r>
              <w:rPr>
                <w:rFonts w:hint="eastAsia" w:ascii="Times New Roman" w:hAnsi="Times New Roman"/>
                <w:color w:val="000000"/>
                <w:sz w:val="24"/>
                <w:szCs w:val="24"/>
              </w:rPr>
              <w:t>GB/T 23761-2020</w:t>
            </w:r>
            <w:r>
              <w:rPr>
                <w:rFonts w:hint="eastAsia" w:ascii="Times New Roman" w:hAnsi="Times New Roman"/>
                <w:color w:val="000000"/>
                <w:sz w:val="24"/>
                <w:szCs w:val="24"/>
                <w:lang w:eastAsia="zh-CN"/>
              </w:rPr>
              <w:t>《光催化空气净化材料性能测试方法 乙醛（或甲醛）的降解》</w:t>
            </w:r>
          </w:p>
        </w:tc>
        <w:tc>
          <w:tcPr>
            <w:tcW w:w="3000" w:type="dxa"/>
            <w:vAlign w:val="center"/>
          </w:tcPr>
          <w:p w14:paraId="35A32C74">
            <w:pPr>
              <w:spacing w:line="360" w:lineRule="auto"/>
              <w:rPr>
                <w:rFonts w:hint="eastAsia" w:ascii="Times New Roman" w:hAnsi="Times New Roman"/>
                <w:color w:val="000000"/>
                <w:sz w:val="24"/>
                <w:szCs w:val="24"/>
              </w:rPr>
            </w:pPr>
            <w:r>
              <w:rPr>
                <w:rFonts w:hint="eastAsia" w:ascii="Times New Roman" w:hAnsi="Times New Roman"/>
                <w:color w:val="000000"/>
                <w:sz w:val="24"/>
                <w:szCs w:val="24"/>
              </w:rPr>
              <w:t>去除量、去除率等</w:t>
            </w:r>
          </w:p>
          <w:p w14:paraId="68632510">
            <w:pPr>
              <w:spacing w:line="360" w:lineRule="auto"/>
              <w:rPr>
                <w:rFonts w:hint="eastAsia" w:ascii="Times New Roman" w:hAnsi="Times New Roman"/>
                <w:color w:val="000000"/>
                <w:sz w:val="24"/>
                <w:szCs w:val="24"/>
              </w:rPr>
            </w:pPr>
          </w:p>
        </w:tc>
        <w:tc>
          <w:tcPr>
            <w:tcW w:w="2129" w:type="dxa"/>
            <w:vAlign w:val="center"/>
          </w:tcPr>
          <w:p w14:paraId="0FA5399A">
            <w:pPr>
              <w:spacing w:line="360" w:lineRule="auto"/>
              <w:rPr>
                <w:rFonts w:hint="eastAsia" w:ascii="Times New Roman" w:hAnsi="Times New Roman"/>
                <w:color w:val="000000"/>
                <w:sz w:val="24"/>
                <w:szCs w:val="24"/>
              </w:rPr>
            </w:pPr>
            <w:r>
              <w:rPr>
                <w:rFonts w:hint="eastAsia" w:ascii="Times New Roman" w:hAnsi="Times New Roman"/>
                <w:color w:val="000000"/>
                <w:sz w:val="24"/>
                <w:szCs w:val="24"/>
                <w:lang w:val="en-US" w:eastAsia="zh-CN"/>
              </w:rPr>
              <w:t>略</w:t>
            </w:r>
          </w:p>
        </w:tc>
      </w:tr>
      <w:tr w14:paraId="100D3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486" w:type="dxa"/>
            <w:vAlign w:val="center"/>
          </w:tcPr>
          <w:p w14:paraId="43D4934F">
            <w:pPr>
              <w:spacing w:line="360" w:lineRule="auto"/>
              <w:rPr>
                <w:rFonts w:ascii="Times New Roman" w:hAnsi="Times New Roman"/>
                <w:color w:val="000000"/>
                <w:sz w:val="24"/>
                <w:szCs w:val="24"/>
              </w:rPr>
            </w:pPr>
          </w:p>
        </w:tc>
        <w:tc>
          <w:tcPr>
            <w:tcW w:w="4067" w:type="dxa"/>
            <w:vAlign w:val="center"/>
          </w:tcPr>
          <w:p w14:paraId="081B8487">
            <w:pPr>
              <w:spacing w:line="360" w:lineRule="auto"/>
              <w:rPr>
                <w:rFonts w:hint="eastAsia" w:ascii="Times New Roman" w:hAnsi="Times New Roman"/>
                <w:color w:val="000000"/>
                <w:sz w:val="24"/>
                <w:szCs w:val="24"/>
              </w:rPr>
            </w:pPr>
            <w:r>
              <w:rPr>
                <w:rFonts w:hint="eastAsia" w:ascii="Times New Roman" w:hAnsi="Times New Roman"/>
                <w:color w:val="000000"/>
                <w:sz w:val="24"/>
                <w:szCs w:val="24"/>
              </w:rPr>
              <w:t>GB/T 39716-2020</w:t>
            </w:r>
            <w:r>
              <w:rPr>
                <w:rFonts w:hint="eastAsia" w:ascii="Times New Roman" w:hAnsi="Times New Roman"/>
                <w:color w:val="000000"/>
                <w:sz w:val="24"/>
                <w:szCs w:val="24"/>
                <w:lang w:eastAsia="zh-CN"/>
              </w:rPr>
              <w:t>《光催化材料及其制品空气净化性能测试方法》</w:t>
            </w:r>
          </w:p>
        </w:tc>
        <w:tc>
          <w:tcPr>
            <w:tcW w:w="3000" w:type="dxa"/>
            <w:vAlign w:val="center"/>
          </w:tcPr>
          <w:p w14:paraId="4CC1B41D">
            <w:pPr>
              <w:spacing w:line="360" w:lineRule="auto"/>
              <w:rPr>
                <w:rFonts w:hint="eastAsia" w:ascii="Times New Roman" w:hAnsi="Times New Roman"/>
                <w:color w:val="000000"/>
                <w:sz w:val="24"/>
                <w:szCs w:val="24"/>
              </w:rPr>
            </w:pPr>
            <w:r>
              <w:rPr>
                <w:rFonts w:hint="eastAsia" w:ascii="Times New Roman" w:hAnsi="Times New Roman"/>
                <w:color w:val="000000"/>
                <w:sz w:val="24"/>
                <w:szCs w:val="24"/>
              </w:rPr>
              <w:t>NOX净去除量，NO去除量等</w:t>
            </w:r>
          </w:p>
        </w:tc>
        <w:tc>
          <w:tcPr>
            <w:tcW w:w="2129" w:type="dxa"/>
            <w:vAlign w:val="center"/>
          </w:tcPr>
          <w:p w14:paraId="560773C1">
            <w:pPr>
              <w:spacing w:line="360" w:lineRule="auto"/>
              <w:rPr>
                <w:rFonts w:hint="eastAsia" w:ascii="Times New Roman" w:hAnsi="Times New Roman"/>
                <w:color w:val="000000"/>
                <w:sz w:val="24"/>
                <w:szCs w:val="24"/>
              </w:rPr>
            </w:pPr>
            <w:r>
              <w:rPr>
                <w:rFonts w:hint="eastAsia" w:ascii="Times New Roman" w:hAnsi="Times New Roman"/>
                <w:color w:val="000000"/>
                <w:sz w:val="24"/>
                <w:szCs w:val="24"/>
                <w:lang w:val="en-US" w:eastAsia="zh-CN"/>
              </w:rPr>
              <w:t>略</w:t>
            </w:r>
          </w:p>
        </w:tc>
      </w:tr>
    </w:tbl>
    <w:p w14:paraId="2DD1DABB">
      <w:pPr>
        <w:spacing w:line="360" w:lineRule="auto"/>
        <w:ind w:firstLine="480" w:firstLineChars="200"/>
        <w:rPr>
          <w:rFonts w:ascii="Times New Roman" w:hAnsi="Times New Roman"/>
          <w:color w:val="000000"/>
          <w:sz w:val="24"/>
          <w:szCs w:val="24"/>
        </w:rPr>
      </w:pPr>
      <w:r>
        <w:rPr>
          <w:rFonts w:hint="eastAsia" w:ascii="Times New Roman" w:hAnsi="Times New Roman"/>
          <w:color w:val="000000"/>
          <w:sz w:val="24"/>
          <w:szCs w:val="24"/>
        </w:rPr>
        <w:t>在中国，空气净化器国家标准GB/T 18801-2022《空气净化器》引入了对除异味性能的评价方法。该标准的附录J给出了使用专业嗅辨员测定气味强度的方法，通过比较净化器开启前后的环境气味强度来计算“气味强度差值”（ΔOI）。虽然GB/T 18801-2022将除异味测试方法作为资料性附录（非强制），但这一评价指标已在相关评价体系中得到应用。例如，</w:t>
      </w:r>
      <w:r>
        <w:rPr>
          <w:rFonts w:hint="eastAsia" w:ascii="Times New Roman" w:hAnsi="Times New Roman"/>
          <w:color w:val="000000"/>
          <w:sz w:val="24"/>
          <w:szCs w:val="24"/>
          <w:lang w:eastAsia="zh-CN"/>
        </w:rPr>
        <w:t>《</w:t>
      </w:r>
      <w:r>
        <w:rPr>
          <w:rFonts w:hint="eastAsia" w:ascii="Times New Roman" w:hAnsi="Times New Roman"/>
          <w:color w:val="000000"/>
          <w:sz w:val="24"/>
          <w:szCs w:val="24"/>
        </w:rPr>
        <w:t>绿色产品评价</w:t>
      </w:r>
      <w:r>
        <w:rPr>
          <w:rFonts w:hint="eastAsia" w:ascii="Times New Roman" w:hAnsi="Times New Roman"/>
          <w:color w:val="000000"/>
          <w:sz w:val="24"/>
          <w:szCs w:val="24"/>
          <w:lang w:val="en-US" w:eastAsia="zh-CN"/>
        </w:rPr>
        <w:t xml:space="preserve"> </w:t>
      </w:r>
      <w:r>
        <w:rPr>
          <w:rFonts w:hint="eastAsia" w:ascii="Times New Roman" w:hAnsi="Times New Roman"/>
          <w:color w:val="000000"/>
          <w:sz w:val="24"/>
          <w:szCs w:val="24"/>
        </w:rPr>
        <w:t>空气净化设备</w:t>
      </w:r>
      <w:r>
        <w:rPr>
          <w:rFonts w:hint="eastAsia" w:ascii="Times New Roman" w:hAnsi="Times New Roman"/>
          <w:color w:val="000000"/>
          <w:sz w:val="24"/>
          <w:szCs w:val="24"/>
          <w:lang w:eastAsia="zh-CN"/>
        </w:rPr>
        <w:t>》（</w:t>
      </w:r>
      <w:r>
        <w:rPr>
          <w:rFonts w:hint="eastAsia" w:ascii="Times New Roman" w:hAnsi="Times New Roman"/>
          <w:color w:val="000000"/>
          <w:sz w:val="24"/>
          <w:szCs w:val="24"/>
          <w:lang w:val="en-US" w:eastAsia="zh-CN"/>
        </w:rPr>
        <w:t>征求意见稿</w:t>
      </w:r>
      <w:r>
        <w:rPr>
          <w:rFonts w:hint="eastAsia" w:ascii="Times New Roman" w:hAnsi="Times New Roman"/>
          <w:color w:val="000000"/>
          <w:sz w:val="24"/>
          <w:szCs w:val="24"/>
          <w:lang w:eastAsia="zh-CN"/>
        </w:rPr>
        <w:t>）</w:t>
      </w:r>
      <w:r>
        <w:rPr>
          <w:rFonts w:hint="eastAsia" w:ascii="Times New Roman" w:hAnsi="Times New Roman"/>
          <w:color w:val="000000"/>
          <w:sz w:val="24"/>
          <w:szCs w:val="24"/>
          <w:lang w:val="en-US" w:eastAsia="zh-CN"/>
        </w:rPr>
        <w:t>中</w:t>
      </w:r>
      <w:r>
        <w:rPr>
          <w:rFonts w:hint="eastAsia" w:ascii="Times New Roman" w:hAnsi="Times New Roman"/>
          <w:color w:val="000000"/>
          <w:sz w:val="24"/>
          <w:szCs w:val="24"/>
        </w:rPr>
        <w:t>要求空气净化器的除异味性能达到一定水平</w:t>
      </w:r>
      <w:r>
        <w:rPr>
          <w:rFonts w:hint="eastAsia" w:ascii="Times New Roman" w:hAnsi="Times New Roman"/>
          <w:color w:val="000000"/>
          <w:sz w:val="24"/>
          <w:szCs w:val="24"/>
          <w:lang w:eastAsia="zh-CN"/>
        </w:rPr>
        <w:t>（</w:t>
      </w:r>
      <w:r>
        <w:rPr>
          <w:rFonts w:hint="eastAsia" w:ascii="Times New Roman" w:hAnsi="Times New Roman"/>
          <w:color w:val="000000"/>
          <w:sz w:val="24"/>
          <w:szCs w:val="24"/>
        </w:rPr>
        <w:t>气味强度差值≥2</w:t>
      </w:r>
      <w:r>
        <w:rPr>
          <w:rFonts w:hint="eastAsia" w:ascii="Times New Roman" w:hAnsi="Times New Roman"/>
          <w:color w:val="000000"/>
          <w:sz w:val="24"/>
          <w:szCs w:val="24"/>
          <w:lang w:eastAsia="zh-CN"/>
        </w:rPr>
        <w:t>）</w:t>
      </w:r>
      <w:r>
        <w:rPr>
          <w:rFonts w:hint="eastAsia" w:ascii="Times New Roman" w:hAnsi="Times New Roman"/>
          <w:color w:val="000000"/>
          <w:sz w:val="24"/>
          <w:szCs w:val="24"/>
        </w:rPr>
        <w:t>方能满足绿色产品要求</w:t>
      </w:r>
      <w:r>
        <w:rPr>
          <w:rFonts w:hint="eastAsia" w:ascii="Times New Roman" w:hAnsi="Times New Roman"/>
          <w:color w:val="000000"/>
          <w:sz w:val="24"/>
          <w:szCs w:val="24"/>
          <w:lang w:eastAsia="zh-CN"/>
        </w:rPr>
        <w:t>。同时，针对特殊用途的净化器，团体标准也制定了明确分级要求，如T/CI XXXX-2024《宠物环境空气净化器》**规定凡宣称具有除异味功能的产品，其气味强度差值不得低于1.5。这些标准均采用</w:t>
      </w:r>
      <w:r>
        <w:rPr>
          <w:rFonts w:hint="eastAsia" w:ascii="Times New Roman" w:hAnsi="Times New Roman"/>
          <w:color w:val="000000"/>
          <w:sz w:val="24"/>
          <w:szCs w:val="24"/>
          <w:lang w:val="en-US" w:eastAsia="zh-CN"/>
        </w:rPr>
        <w:t>气味评价员</w:t>
      </w:r>
      <w:r>
        <w:rPr>
          <w:rFonts w:hint="eastAsia" w:ascii="Times New Roman" w:hAnsi="Times New Roman"/>
          <w:color w:val="000000"/>
          <w:sz w:val="24"/>
          <w:szCs w:val="24"/>
          <w:lang w:eastAsia="zh-CN"/>
        </w:rPr>
        <w:t>感官评价法测定ΔOI，体现了对净味性能的重视。</w:t>
      </w:r>
    </w:p>
    <w:p w14:paraId="673B7D6B">
      <w:pPr>
        <w:spacing w:line="360" w:lineRule="auto"/>
        <w:rPr>
          <w:rFonts w:ascii="Times New Roman" w:hAnsi="Times New Roman"/>
          <w:color w:val="000000"/>
          <w:sz w:val="24"/>
          <w:szCs w:val="24"/>
        </w:rPr>
      </w:pPr>
      <w:r>
        <w:rPr>
          <w:rFonts w:ascii="Times New Roman" w:hAnsi="Times New Roman"/>
          <w:color w:val="000000"/>
          <w:sz w:val="24"/>
          <w:szCs w:val="24"/>
        </w:rPr>
        <w:t>b</w:t>
      </w:r>
      <w:r>
        <w:rPr>
          <w:rFonts w:hint="eastAsia" w:ascii="Times New Roman" w:hAnsi="Times New Roman"/>
          <w:color w:val="000000"/>
          <w:sz w:val="24"/>
          <w:szCs w:val="24"/>
        </w:rPr>
        <w:t>）国外</w:t>
      </w:r>
    </w:p>
    <w:tbl>
      <w:tblPr>
        <w:tblStyle w:val="18"/>
        <w:tblW w:w="968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720"/>
        <w:gridCol w:w="3136"/>
        <w:gridCol w:w="2826"/>
      </w:tblGrid>
      <w:tr w14:paraId="4DFA5D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46" w:hRule="atLeast"/>
          <w:jc w:val="center"/>
        </w:trPr>
        <w:tc>
          <w:tcPr>
            <w:tcW w:w="3720" w:type="dxa"/>
            <w:vAlign w:val="center"/>
          </w:tcPr>
          <w:p w14:paraId="70476F86">
            <w:pPr>
              <w:spacing w:line="360" w:lineRule="auto"/>
              <w:rPr>
                <w:rFonts w:ascii="Times New Roman" w:hAnsi="Times New Roman"/>
                <w:color w:val="000000"/>
                <w:sz w:val="24"/>
                <w:szCs w:val="24"/>
              </w:rPr>
            </w:pPr>
            <w:r>
              <w:rPr>
                <w:rFonts w:hint="eastAsia" w:ascii="Times New Roman" w:hAnsi="Times New Roman"/>
                <w:color w:val="000000"/>
                <w:sz w:val="24"/>
                <w:szCs w:val="24"/>
              </w:rPr>
              <w:t>标准名称及标准号</w:t>
            </w:r>
          </w:p>
        </w:tc>
        <w:tc>
          <w:tcPr>
            <w:tcW w:w="3136" w:type="dxa"/>
            <w:vAlign w:val="center"/>
          </w:tcPr>
          <w:p w14:paraId="7F8E58F8">
            <w:pPr>
              <w:spacing w:line="360" w:lineRule="auto"/>
              <w:rPr>
                <w:rFonts w:ascii="Times New Roman" w:hAnsi="Times New Roman"/>
                <w:color w:val="000000"/>
                <w:sz w:val="24"/>
                <w:szCs w:val="24"/>
              </w:rPr>
            </w:pPr>
            <w:r>
              <w:rPr>
                <w:rFonts w:hint="eastAsia" w:ascii="Times New Roman" w:hAnsi="Times New Roman"/>
                <w:color w:val="000000"/>
                <w:sz w:val="24"/>
                <w:szCs w:val="24"/>
                <w:lang w:val="en-US" w:eastAsia="zh-CN"/>
              </w:rPr>
              <w:t>指标及方法</w:t>
            </w:r>
          </w:p>
        </w:tc>
        <w:tc>
          <w:tcPr>
            <w:tcW w:w="2826" w:type="dxa"/>
            <w:vAlign w:val="center"/>
          </w:tcPr>
          <w:p w14:paraId="177A1880">
            <w:pPr>
              <w:spacing w:line="360" w:lineRule="auto"/>
              <w:rPr>
                <w:rFonts w:hint="eastAsia" w:ascii="Times New Roman" w:hAnsi="Times New Roman"/>
                <w:color w:val="000000"/>
                <w:sz w:val="24"/>
                <w:szCs w:val="24"/>
              </w:rPr>
            </w:pPr>
            <w:r>
              <w:rPr>
                <w:rFonts w:hint="eastAsia" w:ascii="Times New Roman" w:hAnsi="Times New Roman"/>
                <w:color w:val="000000"/>
                <w:sz w:val="24"/>
                <w:szCs w:val="24"/>
                <w:lang w:val="en-US" w:eastAsia="zh-CN"/>
              </w:rPr>
              <w:t>要求</w:t>
            </w:r>
          </w:p>
        </w:tc>
      </w:tr>
      <w:tr w14:paraId="43805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9" w:hRule="atLeast"/>
          <w:jc w:val="center"/>
        </w:trPr>
        <w:tc>
          <w:tcPr>
            <w:tcW w:w="3720" w:type="dxa"/>
            <w:vAlign w:val="center"/>
          </w:tcPr>
          <w:p w14:paraId="5237A727">
            <w:pPr>
              <w:spacing w:line="360" w:lineRule="auto"/>
              <w:rPr>
                <w:rFonts w:hint="eastAsia" w:ascii="Times New Roman" w:hAnsi="Times New Roman"/>
                <w:color w:val="000000"/>
                <w:sz w:val="24"/>
                <w:szCs w:val="24"/>
                <w:lang w:val="en-US" w:eastAsia="zh-CN"/>
              </w:rPr>
            </w:pPr>
            <w:r>
              <w:rPr>
                <w:rFonts w:hint="eastAsia" w:ascii="Times New Roman" w:hAnsi="Times New Roman"/>
                <w:color w:val="000000"/>
                <w:sz w:val="24"/>
                <w:szCs w:val="24"/>
              </w:rPr>
              <w:t xml:space="preserve">BS ISO 16000-44： </w:t>
            </w:r>
            <w:r>
              <w:rPr>
                <w:rFonts w:hint="eastAsia" w:ascii="Times New Roman" w:hAnsi="Times New Roman"/>
                <w:color w:val="000000"/>
                <w:sz w:val="24"/>
                <w:szCs w:val="24"/>
                <w:lang w:val="en-US" w:eastAsia="zh-CN"/>
              </w:rPr>
              <w:t>2023</w:t>
            </w:r>
          </w:p>
          <w:p w14:paraId="6DDE8250">
            <w:pPr>
              <w:spacing w:line="360" w:lineRule="auto"/>
              <w:rPr>
                <w:rFonts w:hint="default" w:ascii="Times New Roman" w:hAnsi="Times New Roman"/>
                <w:color w:val="000000"/>
                <w:sz w:val="24"/>
                <w:szCs w:val="24"/>
                <w:lang w:val="en-US" w:eastAsia="zh-CN"/>
              </w:rPr>
            </w:pPr>
            <w:r>
              <w:rPr>
                <w:rFonts w:hint="eastAsia" w:ascii="Times New Roman" w:hAnsi="Times New Roman"/>
                <w:color w:val="000000"/>
                <w:sz w:val="24"/>
                <w:szCs w:val="24"/>
                <w:lang w:val="en-US" w:eastAsia="zh-CN"/>
              </w:rPr>
              <w:t>《室内空气 第44部分：用于测试气相空气净化器性能的感官评价方法》</w:t>
            </w:r>
          </w:p>
        </w:tc>
        <w:tc>
          <w:tcPr>
            <w:tcW w:w="3136" w:type="dxa"/>
            <w:vAlign w:val="center"/>
          </w:tcPr>
          <w:p w14:paraId="79B70ED2">
            <w:pPr>
              <w:spacing w:line="360" w:lineRule="auto"/>
              <w:rPr>
                <w:rFonts w:hint="eastAsia" w:ascii="Times New Roman" w:hAnsi="Times New Roman"/>
                <w:color w:val="000000"/>
                <w:sz w:val="24"/>
                <w:szCs w:val="24"/>
              </w:rPr>
            </w:pPr>
            <w:r>
              <w:rPr>
                <w:rFonts w:hint="eastAsia" w:ascii="Times New Roman" w:hAnsi="Times New Roman"/>
                <w:color w:val="000000"/>
                <w:sz w:val="24"/>
                <w:szCs w:val="24"/>
              </w:rPr>
              <w:t>指标</w:t>
            </w:r>
            <w:r>
              <w:rPr>
                <w:rFonts w:hint="eastAsia" w:ascii="Times New Roman" w:hAnsi="Times New Roman"/>
                <w:color w:val="000000"/>
                <w:sz w:val="24"/>
                <w:szCs w:val="24"/>
                <w:lang w:val="en-US" w:eastAsia="zh-CN"/>
              </w:rPr>
              <w:t>1</w:t>
            </w:r>
            <w:r>
              <w:rPr>
                <w:rFonts w:hint="eastAsia" w:ascii="Times New Roman" w:hAnsi="Times New Roman"/>
                <w:color w:val="000000"/>
                <w:sz w:val="24"/>
                <w:szCs w:val="24"/>
              </w:rPr>
              <w:t>：气味强度差值</w:t>
            </w:r>
          </w:p>
          <w:p w14:paraId="3C145A89">
            <w:pPr>
              <w:spacing w:line="360" w:lineRule="auto"/>
              <w:rPr>
                <w:rFonts w:hint="eastAsia" w:ascii="Times New Roman" w:hAnsi="Times New Roman"/>
                <w:color w:val="000000"/>
                <w:sz w:val="24"/>
                <w:szCs w:val="24"/>
                <w:lang w:val="en-US" w:eastAsia="zh-CN"/>
              </w:rPr>
            </w:pPr>
            <w:r>
              <w:rPr>
                <w:rFonts w:hint="eastAsia" w:ascii="Times New Roman" w:hAnsi="Times New Roman"/>
                <w:color w:val="000000"/>
                <w:sz w:val="24"/>
                <w:szCs w:val="24"/>
              </w:rPr>
              <w:t>方法</w:t>
            </w:r>
            <w:r>
              <w:rPr>
                <w:rFonts w:hint="eastAsia" w:ascii="Times New Roman" w:hAnsi="Times New Roman"/>
                <w:color w:val="000000"/>
                <w:sz w:val="24"/>
                <w:szCs w:val="24"/>
                <w:lang w:val="en-US" w:eastAsia="zh-CN"/>
              </w:rPr>
              <w:t>1</w:t>
            </w:r>
            <w:r>
              <w:rPr>
                <w:rFonts w:hint="eastAsia" w:ascii="Times New Roman" w:hAnsi="Times New Roman"/>
                <w:color w:val="000000"/>
                <w:sz w:val="24"/>
                <w:szCs w:val="24"/>
              </w:rPr>
              <w:t>：</w:t>
            </w:r>
            <w:r>
              <w:rPr>
                <w:rFonts w:hint="eastAsia" w:ascii="Times New Roman" w:hAnsi="Times New Roman"/>
                <w:color w:val="000000"/>
                <w:sz w:val="24"/>
                <w:szCs w:val="24"/>
                <w:lang w:val="en-US" w:eastAsia="zh-CN"/>
              </w:rPr>
              <w:t>参考基准法</w:t>
            </w:r>
          </w:p>
          <w:p w14:paraId="4A41AF7C">
            <w:pPr>
              <w:spacing w:line="360" w:lineRule="auto"/>
              <w:rPr>
                <w:rFonts w:hint="eastAsia" w:ascii="Times New Roman" w:hAnsi="Times New Roman"/>
                <w:color w:val="000000"/>
                <w:sz w:val="24"/>
                <w:szCs w:val="24"/>
              </w:rPr>
            </w:pPr>
            <w:r>
              <w:rPr>
                <w:rFonts w:hint="eastAsia" w:ascii="Times New Roman" w:hAnsi="Times New Roman"/>
                <w:color w:val="000000"/>
                <w:sz w:val="24"/>
                <w:szCs w:val="24"/>
              </w:rPr>
              <w:t>指标</w:t>
            </w:r>
            <w:r>
              <w:rPr>
                <w:rFonts w:hint="eastAsia" w:ascii="Times New Roman" w:hAnsi="Times New Roman"/>
                <w:color w:val="000000"/>
                <w:sz w:val="24"/>
                <w:szCs w:val="24"/>
                <w:lang w:val="en-US" w:eastAsia="zh-CN"/>
              </w:rPr>
              <w:t>2</w:t>
            </w:r>
            <w:r>
              <w:rPr>
                <w:rFonts w:hint="eastAsia" w:ascii="Times New Roman" w:hAnsi="Times New Roman"/>
                <w:color w:val="000000"/>
                <w:sz w:val="24"/>
                <w:szCs w:val="24"/>
              </w:rPr>
              <w:t>：气味</w:t>
            </w:r>
            <w:r>
              <w:rPr>
                <w:rFonts w:hint="eastAsia" w:ascii="Times New Roman" w:hAnsi="Times New Roman"/>
                <w:color w:val="000000"/>
                <w:sz w:val="24"/>
                <w:szCs w:val="24"/>
                <w:lang w:val="en-US" w:eastAsia="zh-CN"/>
              </w:rPr>
              <w:t>可接受度</w:t>
            </w:r>
            <w:r>
              <w:rPr>
                <w:rFonts w:hint="eastAsia" w:ascii="Times New Roman" w:hAnsi="Times New Roman"/>
                <w:color w:val="000000"/>
                <w:sz w:val="24"/>
                <w:szCs w:val="24"/>
              </w:rPr>
              <w:t>差值</w:t>
            </w:r>
          </w:p>
          <w:p w14:paraId="0F8204BE">
            <w:pPr>
              <w:spacing w:line="360" w:lineRule="auto"/>
              <w:rPr>
                <w:rFonts w:hint="default" w:ascii="Times New Roman" w:hAnsi="Times New Roman"/>
                <w:color w:val="000000"/>
                <w:sz w:val="24"/>
                <w:szCs w:val="24"/>
                <w:lang w:val="en-US" w:eastAsia="zh-CN"/>
              </w:rPr>
            </w:pPr>
            <w:r>
              <w:rPr>
                <w:rFonts w:hint="eastAsia" w:ascii="Times New Roman" w:hAnsi="Times New Roman"/>
                <w:color w:val="000000"/>
                <w:sz w:val="24"/>
                <w:szCs w:val="24"/>
              </w:rPr>
              <w:t>方法</w:t>
            </w:r>
            <w:r>
              <w:rPr>
                <w:rFonts w:hint="eastAsia" w:ascii="Times New Roman" w:hAnsi="Times New Roman"/>
                <w:color w:val="000000"/>
                <w:sz w:val="24"/>
                <w:szCs w:val="24"/>
                <w:lang w:val="en-US" w:eastAsia="zh-CN"/>
              </w:rPr>
              <w:t>2</w:t>
            </w:r>
            <w:r>
              <w:rPr>
                <w:rFonts w:hint="eastAsia" w:ascii="Times New Roman" w:hAnsi="Times New Roman"/>
                <w:color w:val="000000"/>
                <w:sz w:val="24"/>
                <w:szCs w:val="24"/>
              </w:rPr>
              <w:t>：</w:t>
            </w:r>
            <w:r>
              <w:rPr>
                <w:rFonts w:hint="eastAsia" w:ascii="Times New Roman" w:hAnsi="Times New Roman"/>
                <w:color w:val="000000"/>
                <w:sz w:val="24"/>
                <w:szCs w:val="24"/>
                <w:lang w:val="en-US" w:eastAsia="zh-CN"/>
              </w:rPr>
              <w:t>感官评价法</w:t>
            </w:r>
          </w:p>
        </w:tc>
        <w:tc>
          <w:tcPr>
            <w:tcW w:w="2826" w:type="dxa"/>
            <w:vAlign w:val="center"/>
          </w:tcPr>
          <w:p w14:paraId="73534353">
            <w:pPr>
              <w:spacing w:line="360" w:lineRule="auto"/>
              <w:rPr>
                <w:rFonts w:hint="default" w:ascii="Times New Roman" w:hAnsi="Times New Roman" w:eastAsia="宋体"/>
                <w:color w:val="000000"/>
                <w:sz w:val="24"/>
                <w:szCs w:val="24"/>
                <w:lang w:val="en-US" w:eastAsia="zh-CN"/>
              </w:rPr>
            </w:pPr>
            <w:r>
              <w:rPr>
                <w:rFonts w:hint="eastAsia" w:ascii="Times New Roman" w:hAnsi="Times New Roman"/>
                <w:color w:val="000000"/>
                <w:sz w:val="24"/>
                <w:szCs w:val="24"/>
                <w:lang w:val="en-US" w:eastAsia="zh-CN"/>
              </w:rPr>
              <w:t>方法标准，无限值要求</w:t>
            </w:r>
          </w:p>
        </w:tc>
      </w:tr>
      <w:tr w14:paraId="43F7EE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3720" w:type="dxa"/>
            <w:vAlign w:val="center"/>
          </w:tcPr>
          <w:p w14:paraId="799D8AC4">
            <w:pPr>
              <w:spacing w:line="360" w:lineRule="auto"/>
              <w:rPr>
                <w:rFonts w:hint="eastAsia" w:ascii="Times New Roman" w:hAnsi="Times New Roman"/>
                <w:color w:val="000000"/>
                <w:sz w:val="24"/>
                <w:szCs w:val="24"/>
              </w:rPr>
            </w:pPr>
            <w:r>
              <w:rPr>
                <w:rFonts w:hint="eastAsia" w:ascii="Times New Roman" w:hAnsi="Times New Roman"/>
                <w:color w:val="000000"/>
                <w:sz w:val="24"/>
                <w:szCs w:val="24"/>
              </w:rPr>
              <w:t>EN 13725:2022</w:t>
            </w:r>
          </w:p>
          <w:p w14:paraId="41E6670D">
            <w:pPr>
              <w:spacing w:line="360" w:lineRule="auto"/>
              <w:rPr>
                <w:rFonts w:hint="eastAsia" w:ascii="Times New Roman" w:hAnsi="Times New Roman" w:eastAsia="宋体"/>
                <w:color w:val="000000"/>
                <w:sz w:val="24"/>
                <w:szCs w:val="24"/>
                <w:lang w:eastAsia="zh-CN"/>
              </w:rPr>
            </w:pPr>
            <w:r>
              <w:rPr>
                <w:rFonts w:hint="eastAsia" w:ascii="Times New Roman" w:hAnsi="Times New Roman"/>
                <w:color w:val="000000"/>
                <w:sz w:val="24"/>
                <w:szCs w:val="24"/>
                <w:lang w:eastAsia="zh-CN"/>
              </w:rPr>
              <w:t>《空气质量—动态嗅觉法测定臭气浓度》</w:t>
            </w:r>
          </w:p>
        </w:tc>
        <w:tc>
          <w:tcPr>
            <w:tcW w:w="3136" w:type="dxa"/>
            <w:vAlign w:val="center"/>
          </w:tcPr>
          <w:p w14:paraId="6AC7B6AD">
            <w:pPr>
              <w:spacing w:line="360" w:lineRule="auto"/>
              <w:rPr>
                <w:rFonts w:hint="default" w:ascii="Times New Roman" w:hAnsi="Times New Roman"/>
                <w:color w:val="000000"/>
                <w:sz w:val="24"/>
                <w:szCs w:val="24"/>
                <w:lang w:val="en-US" w:eastAsia="zh-CN"/>
              </w:rPr>
            </w:pPr>
            <w:r>
              <w:rPr>
                <w:rFonts w:hint="eastAsia" w:ascii="Times New Roman" w:hAnsi="Times New Roman"/>
                <w:color w:val="000000"/>
                <w:sz w:val="24"/>
                <w:szCs w:val="24"/>
                <w:lang w:val="en-US" w:eastAsia="zh-CN"/>
              </w:rPr>
              <w:t>指标：气味去除效率</w:t>
            </w:r>
          </w:p>
          <w:p w14:paraId="3B4F6F28">
            <w:pPr>
              <w:spacing w:line="360" w:lineRule="auto"/>
              <w:rPr>
                <w:rFonts w:hint="default" w:ascii="Times New Roman" w:hAnsi="Times New Roman"/>
                <w:color w:val="000000"/>
                <w:sz w:val="24"/>
                <w:szCs w:val="24"/>
                <w:lang w:val="en-US"/>
              </w:rPr>
            </w:pPr>
            <w:r>
              <w:rPr>
                <w:rFonts w:hint="eastAsia" w:ascii="Times New Roman" w:hAnsi="Times New Roman"/>
                <w:color w:val="000000"/>
                <w:sz w:val="24"/>
                <w:szCs w:val="24"/>
                <w:lang w:val="en-US" w:eastAsia="zh-CN"/>
              </w:rPr>
              <w:t>方法：动态稀释嗅辨法</w:t>
            </w:r>
          </w:p>
        </w:tc>
        <w:tc>
          <w:tcPr>
            <w:tcW w:w="2826" w:type="dxa"/>
            <w:vAlign w:val="center"/>
          </w:tcPr>
          <w:p w14:paraId="71A4480E">
            <w:pPr>
              <w:spacing w:line="360" w:lineRule="auto"/>
              <w:rPr>
                <w:rFonts w:hint="eastAsia" w:ascii="Times New Roman" w:hAnsi="Times New Roman"/>
                <w:color w:val="000000"/>
                <w:sz w:val="24"/>
                <w:szCs w:val="24"/>
              </w:rPr>
            </w:pPr>
            <w:r>
              <w:rPr>
                <w:rFonts w:hint="eastAsia" w:ascii="Times New Roman" w:hAnsi="Times New Roman"/>
                <w:color w:val="000000"/>
                <w:sz w:val="24"/>
                <w:szCs w:val="24"/>
                <w:lang w:val="en-US" w:eastAsia="zh-CN"/>
              </w:rPr>
              <w:t>方法标准，无限值要求</w:t>
            </w:r>
          </w:p>
        </w:tc>
      </w:tr>
      <w:tr w14:paraId="15B16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3720" w:type="dxa"/>
            <w:vAlign w:val="center"/>
          </w:tcPr>
          <w:p w14:paraId="6DC14FFE">
            <w:pPr>
              <w:spacing w:line="360" w:lineRule="auto"/>
              <w:rPr>
                <w:rFonts w:hint="eastAsia" w:ascii="Times New Roman" w:hAnsi="Times New Roman"/>
                <w:color w:val="000000"/>
                <w:sz w:val="24"/>
                <w:szCs w:val="24"/>
              </w:rPr>
            </w:pPr>
            <w:r>
              <w:rPr>
                <w:rFonts w:hint="eastAsia" w:ascii="Times New Roman" w:hAnsi="Times New Roman"/>
                <w:color w:val="000000"/>
                <w:sz w:val="24"/>
                <w:szCs w:val="24"/>
              </w:rPr>
              <w:t>ASTM E1593</w:t>
            </w:r>
          </w:p>
          <w:p w14:paraId="54B0E7F1">
            <w:pPr>
              <w:spacing w:line="360" w:lineRule="auto"/>
              <w:rPr>
                <w:rFonts w:ascii="Times New Roman" w:hAnsi="Times New Roman"/>
                <w:color w:val="000000"/>
                <w:sz w:val="24"/>
                <w:szCs w:val="24"/>
              </w:rPr>
            </w:pPr>
            <w:r>
              <w:rPr>
                <w:rFonts w:hint="eastAsia" w:ascii="Times New Roman" w:hAnsi="Times New Roman"/>
                <w:color w:val="000000"/>
                <w:sz w:val="24"/>
                <w:szCs w:val="24"/>
              </w:rPr>
              <w:t>《空气质量—动态嗅觉法测定臭气浓度》</w:t>
            </w:r>
          </w:p>
        </w:tc>
        <w:tc>
          <w:tcPr>
            <w:tcW w:w="3136" w:type="dxa"/>
            <w:vAlign w:val="center"/>
          </w:tcPr>
          <w:p w14:paraId="69C7286B">
            <w:pPr>
              <w:spacing w:line="360" w:lineRule="auto"/>
              <w:rPr>
                <w:rFonts w:hint="default" w:ascii="Times New Roman" w:hAnsi="Times New Roman"/>
                <w:color w:val="000000"/>
                <w:sz w:val="24"/>
                <w:szCs w:val="24"/>
                <w:lang w:val="en-US" w:eastAsia="zh-CN"/>
              </w:rPr>
            </w:pPr>
            <w:r>
              <w:rPr>
                <w:rFonts w:hint="eastAsia" w:ascii="Times New Roman" w:hAnsi="Times New Roman"/>
                <w:color w:val="000000"/>
                <w:sz w:val="24"/>
                <w:szCs w:val="24"/>
                <w:lang w:val="en-US" w:eastAsia="zh-CN"/>
              </w:rPr>
              <w:t>指标：</w:t>
            </w:r>
            <w:r>
              <w:rPr>
                <w:rFonts w:hint="eastAsia" w:ascii="Times New Roman" w:hAnsi="Times New Roman"/>
                <w:color w:val="000000"/>
                <w:sz w:val="24"/>
                <w:szCs w:val="24"/>
              </w:rPr>
              <w:t>气味强度差值</w:t>
            </w:r>
          </w:p>
          <w:p w14:paraId="51D2B63F">
            <w:pPr>
              <w:spacing w:line="360" w:lineRule="auto"/>
              <w:rPr>
                <w:rFonts w:hint="default" w:ascii="Times New Roman" w:hAnsi="Times New Roman"/>
                <w:color w:val="000000"/>
                <w:sz w:val="24"/>
                <w:szCs w:val="24"/>
                <w:lang w:val="en-US"/>
              </w:rPr>
            </w:pPr>
            <w:r>
              <w:rPr>
                <w:rFonts w:hint="eastAsia" w:ascii="Times New Roman" w:hAnsi="Times New Roman"/>
                <w:color w:val="000000"/>
                <w:sz w:val="24"/>
                <w:szCs w:val="24"/>
                <w:lang w:val="en-US" w:eastAsia="zh-CN"/>
              </w:rPr>
              <w:t>方法：阶段法</w:t>
            </w:r>
          </w:p>
        </w:tc>
        <w:tc>
          <w:tcPr>
            <w:tcW w:w="2826" w:type="dxa"/>
            <w:vAlign w:val="center"/>
          </w:tcPr>
          <w:p w14:paraId="48080F78">
            <w:pPr>
              <w:spacing w:line="360" w:lineRule="auto"/>
              <w:rPr>
                <w:rFonts w:hint="default" w:ascii="Times New Roman" w:hAnsi="Times New Roman" w:eastAsia="宋体"/>
                <w:color w:val="000000"/>
                <w:sz w:val="24"/>
                <w:szCs w:val="24"/>
                <w:lang w:val="en-US" w:eastAsia="zh-CN"/>
              </w:rPr>
            </w:pPr>
            <w:r>
              <w:rPr>
                <w:rFonts w:hint="eastAsia" w:ascii="Times New Roman" w:hAnsi="Times New Roman"/>
                <w:color w:val="000000"/>
                <w:sz w:val="24"/>
                <w:szCs w:val="24"/>
                <w:lang w:val="en-US" w:eastAsia="zh-CN"/>
              </w:rPr>
              <w:t>方法标准，无限值要求</w:t>
            </w:r>
          </w:p>
        </w:tc>
      </w:tr>
      <w:tr w14:paraId="789198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3720" w:type="dxa"/>
            <w:vAlign w:val="center"/>
          </w:tcPr>
          <w:p w14:paraId="1DB34748">
            <w:pPr>
              <w:spacing w:line="360" w:lineRule="auto"/>
              <w:rPr>
                <w:rFonts w:hint="eastAsia" w:ascii="Times New Roman" w:hAnsi="Times New Roman"/>
                <w:color w:val="000000"/>
                <w:sz w:val="24"/>
                <w:szCs w:val="24"/>
              </w:rPr>
            </w:pPr>
            <w:r>
              <w:rPr>
                <w:rFonts w:hint="eastAsia" w:ascii="Times New Roman" w:hAnsi="Times New Roman"/>
                <w:color w:val="000000"/>
                <w:sz w:val="24"/>
                <w:szCs w:val="24"/>
              </w:rPr>
              <w:t>EN 16846-1:2017</w:t>
            </w:r>
          </w:p>
          <w:p w14:paraId="550B535A">
            <w:pPr>
              <w:spacing w:line="360" w:lineRule="auto"/>
              <w:rPr>
                <w:rFonts w:hint="eastAsia" w:ascii="Times New Roman" w:hAnsi="Times New Roman" w:eastAsia="宋体"/>
                <w:color w:val="000000"/>
                <w:sz w:val="24"/>
                <w:szCs w:val="24"/>
                <w:lang w:eastAsia="zh-CN"/>
              </w:rPr>
            </w:pPr>
            <w:r>
              <w:rPr>
                <w:rFonts w:hint="eastAsia" w:ascii="Times New Roman" w:hAnsi="Times New Roman"/>
                <w:color w:val="000000"/>
                <w:sz w:val="24"/>
                <w:szCs w:val="24"/>
                <w:lang w:eastAsia="zh-CN"/>
              </w:rPr>
              <w:t>《光催化-用于在主动模式下消除室内空气中的VOC和异味的光催化装置的效率测量-第1部分:封闭腔室中的批次模式试验方法》</w:t>
            </w:r>
          </w:p>
        </w:tc>
        <w:tc>
          <w:tcPr>
            <w:tcW w:w="3136" w:type="dxa"/>
            <w:vAlign w:val="center"/>
          </w:tcPr>
          <w:p w14:paraId="63354D3E">
            <w:pPr>
              <w:spacing w:line="360" w:lineRule="auto"/>
              <w:rPr>
                <w:rFonts w:hint="default" w:ascii="Times New Roman" w:hAnsi="Times New Roman"/>
                <w:color w:val="000000"/>
                <w:sz w:val="24"/>
                <w:szCs w:val="24"/>
                <w:lang w:val="en-US" w:eastAsia="zh-CN"/>
              </w:rPr>
            </w:pPr>
            <w:r>
              <w:rPr>
                <w:rFonts w:hint="eastAsia" w:ascii="Times New Roman" w:hAnsi="Times New Roman"/>
                <w:color w:val="000000"/>
                <w:sz w:val="24"/>
                <w:szCs w:val="24"/>
                <w:lang w:val="en-US" w:eastAsia="zh-CN"/>
              </w:rPr>
              <w:t>指标：气味去除效率</w:t>
            </w:r>
          </w:p>
          <w:p w14:paraId="65BC05D9">
            <w:pPr>
              <w:spacing w:line="360" w:lineRule="auto"/>
              <w:rPr>
                <w:rFonts w:ascii="Times New Roman" w:hAnsi="Times New Roman"/>
                <w:color w:val="000000"/>
                <w:sz w:val="24"/>
                <w:szCs w:val="24"/>
              </w:rPr>
            </w:pPr>
            <w:r>
              <w:rPr>
                <w:rFonts w:hint="eastAsia" w:ascii="Times New Roman" w:hAnsi="Times New Roman"/>
                <w:color w:val="000000"/>
                <w:sz w:val="24"/>
                <w:szCs w:val="24"/>
                <w:lang w:val="en-US" w:eastAsia="zh-CN"/>
              </w:rPr>
              <w:t>方法：动态稀释嗅辨法</w:t>
            </w:r>
          </w:p>
        </w:tc>
        <w:tc>
          <w:tcPr>
            <w:tcW w:w="2826" w:type="dxa"/>
            <w:vAlign w:val="center"/>
          </w:tcPr>
          <w:p w14:paraId="729B6E9D">
            <w:pPr>
              <w:spacing w:line="360" w:lineRule="auto"/>
              <w:rPr>
                <w:rFonts w:hint="eastAsia" w:ascii="Times New Roman" w:hAnsi="Times New Roman"/>
                <w:color w:val="000000"/>
                <w:sz w:val="24"/>
                <w:szCs w:val="24"/>
              </w:rPr>
            </w:pPr>
            <w:r>
              <w:rPr>
                <w:rFonts w:hint="eastAsia" w:ascii="Times New Roman" w:hAnsi="Times New Roman"/>
                <w:color w:val="000000"/>
                <w:sz w:val="24"/>
                <w:szCs w:val="24"/>
                <w:lang w:val="en-US" w:eastAsia="zh-CN"/>
              </w:rPr>
              <w:t>方法标准，无限值要求</w:t>
            </w:r>
          </w:p>
        </w:tc>
      </w:tr>
    </w:tbl>
    <w:p w14:paraId="5A2D6844">
      <w:pPr>
        <w:spacing w:line="360" w:lineRule="auto"/>
        <w:rPr>
          <w:rFonts w:hint="eastAsia" w:ascii="Times New Roman" w:hAnsi="Times New Roman"/>
          <w:color w:val="000000"/>
          <w:sz w:val="24"/>
          <w:szCs w:val="24"/>
        </w:rPr>
      </w:pPr>
      <w:r>
        <w:rPr>
          <w:rFonts w:hint="eastAsia" w:ascii="Times New Roman" w:hAnsi="Times New Roman"/>
          <w:color w:val="000000"/>
          <w:sz w:val="24"/>
          <w:szCs w:val="24"/>
        </w:rPr>
        <w:t>国际上</w:t>
      </w:r>
      <w:r>
        <w:rPr>
          <w:rFonts w:hint="eastAsia" w:ascii="Times New Roman" w:hAnsi="Times New Roman"/>
          <w:color w:val="000000"/>
          <w:sz w:val="24"/>
          <w:szCs w:val="24"/>
          <w:lang w:val="en-US" w:eastAsia="zh-CN"/>
        </w:rPr>
        <w:t>专门</w:t>
      </w:r>
      <w:r>
        <w:rPr>
          <w:rFonts w:hint="eastAsia" w:ascii="Times New Roman" w:hAnsi="Times New Roman"/>
          <w:color w:val="000000"/>
          <w:sz w:val="24"/>
          <w:szCs w:val="24"/>
        </w:rPr>
        <w:t>针对“室内</w:t>
      </w:r>
      <w:r>
        <w:rPr>
          <w:rFonts w:hint="eastAsia" w:ascii="Times New Roman" w:hAnsi="Times New Roman"/>
          <w:color w:val="000000"/>
          <w:sz w:val="24"/>
          <w:szCs w:val="24"/>
          <w:lang w:val="en-US" w:eastAsia="zh-CN"/>
        </w:rPr>
        <w:t>净化</w:t>
      </w:r>
      <w:r>
        <w:rPr>
          <w:rFonts w:hint="eastAsia" w:ascii="Times New Roman" w:hAnsi="Times New Roman"/>
          <w:color w:val="000000"/>
          <w:sz w:val="24"/>
          <w:szCs w:val="24"/>
        </w:rPr>
        <w:t>材料”</w:t>
      </w:r>
      <w:r>
        <w:rPr>
          <w:rFonts w:hint="eastAsia" w:ascii="Times New Roman" w:hAnsi="Times New Roman"/>
          <w:color w:val="000000"/>
          <w:sz w:val="24"/>
          <w:szCs w:val="24"/>
          <w:lang w:val="en-US" w:eastAsia="zh-CN"/>
        </w:rPr>
        <w:t>净味性能感官</w:t>
      </w:r>
      <w:r>
        <w:rPr>
          <w:rFonts w:hint="eastAsia" w:ascii="Times New Roman" w:hAnsi="Times New Roman"/>
          <w:color w:val="000000"/>
          <w:sz w:val="24"/>
          <w:szCs w:val="24"/>
        </w:rPr>
        <w:t>分级的综合标准</w:t>
      </w:r>
      <w:r>
        <w:rPr>
          <w:rFonts w:hint="eastAsia" w:ascii="Times New Roman" w:hAnsi="Times New Roman"/>
          <w:color w:val="000000"/>
          <w:sz w:val="24"/>
          <w:szCs w:val="24"/>
          <w:lang w:val="en-US" w:eastAsia="zh-CN"/>
        </w:rPr>
        <w:t>目前仍然比较少</w:t>
      </w:r>
      <w:r>
        <w:rPr>
          <w:rFonts w:hint="eastAsia" w:ascii="Times New Roman" w:hAnsi="Times New Roman"/>
          <w:color w:val="000000"/>
          <w:sz w:val="24"/>
          <w:szCs w:val="24"/>
        </w:rPr>
        <w:t>，但一些</w:t>
      </w:r>
      <w:r>
        <w:rPr>
          <w:rFonts w:hint="eastAsia" w:ascii="Times New Roman" w:hAnsi="Times New Roman"/>
          <w:color w:val="000000"/>
          <w:sz w:val="24"/>
          <w:szCs w:val="24"/>
          <w:lang w:val="en-US" w:eastAsia="zh-CN"/>
        </w:rPr>
        <w:t>气味感官</w:t>
      </w:r>
      <w:r>
        <w:rPr>
          <w:rFonts w:hint="eastAsia" w:ascii="Times New Roman" w:hAnsi="Times New Roman"/>
          <w:color w:val="000000"/>
          <w:sz w:val="24"/>
          <w:szCs w:val="24"/>
        </w:rPr>
        <w:t>测试方法标准为净味性能评价提供了技术基础。例如，ISO 16000-28:2020使用</w:t>
      </w:r>
      <w:r>
        <w:rPr>
          <w:rFonts w:hint="eastAsia" w:ascii="Times New Roman" w:hAnsi="Times New Roman"/>
          <w:color w:val="000000"/>
          <w:sz w:val="24"/>
          <w:szCs w:val="24"/>
          <w:lang w:val="en-US" w:eastAsia="zh-CN"/>
        </w:rPr>
        <w:t>环境测试</w:t>
      </w:r>
      <w:r>
        <w:rPr>
          <w:rFonts w:hint="eastAsia" w:ascii="Times New Roman" w:hAnsi="Times New Roman"/>
          <w:color w:val="000000"/>
          <w:sz w:val="24"/>
          <w:szCs w:val="24"/>
        </w:rPr>
        <w:t>舱和</w:t>
      </w:r>
      <w:r>
        <w:rPr>
          <w:rFonts w:hint="eastAsia" w:ascii="Times New Roman" w:hAnsi="Times New Roman"/>
          <w:color w:val="000000"/>
          <w:sz w:val="24"/>
          <w:szCs w:val="24"/>
          <w:lang w:val="en-US" w:eastAsia="zh-CN"/>
        </w:rPr>
        <w:t>气味评价员</w:t>
      </w:r>
      <w:r>
        <w:rPr>
          <w:rFonts w:hint="eastAsia" w:ascii="Times New Roman" w:hAnsi="Times New Roman"/>
          <w:color w:val="000000"/>
          <w:sz w:val="24"/>
          <w:szCs w:val="24"/>
        </w:rPr>
        <w:t>小组，对建筑产品散发的气味强度进行测定</w:t>
      </w:r>
      <w:r>
        <w:rPr>
          <w:rFonts w:hint="eastAsia" w:ascii="Times New Roman" w:hAnsi="Times New Roman"/>
          <w:color w:val="000000"/>
          <w:sz w:val="24"/>
          <w:szCs w:val="24"/>
          <w:lang w:eastAsia="zh-CN"/>
        </w:rPr>
        <w:t>，</w:t>
      </w:r>
      <w:r>
        <w:rPr>
          <w:rFonts w:hint="eastAsia" w:ascii="Times New Roman" w:hAnsi="Times New Roman"/>
          <w:color w:val="000000"/>
          <w:sz w:val="24"/>
          <w:szCs w:val="24"/>
        </w:rPr>
        <w:t>作为化学检测的补充手段。</w:t>
      </w:r>
      <w:r>
        <w:rPr>
          <w:rFonts w:hint="eastAsia" w:ascii="Times New Roman" w:hAnsi="Times New Roman"/>
          <w:color w:val="000000"/>
          <w:sz w:val="24"/>
          <w:szCs w:val="24"/>
          <w:lang w:val="en-US" w:eastAsia="zh-CN"/>
        </w:rPr>
        <w:t>另外</w:t>
      </w:r>
      <w:r>
        <w:rPr>
          <w:rFonts w:hint="eastAsia" w:ascii="Times New Roman" w:hAnsi="Times New Roman"/>
          <w:color w:val="000000"/>
          <w:sz w:val="24"/>
          <w:szCs w:val="24"/>
        </w:rPr>
        <w:t>ASTM E1593</w:t>
      </w:r>
      <w:r>
        <w:rPr>
          <w:rFonts w:hint="eastAsia" w:ascii="Times New Roman" w:hAnsi="Times New Roman"/>
          <w:color w:val="000000"/>
          <w:sz w:val="24"/>
          <w:szCs w:val="24"/>
          <w:lang w:val="en-US" w:eastAsia="zh-CN"/>
        </w:rPr>
        <w:t>中规定了材料净味性能的评价方法与本文件契合度较高</w:t>
      </w:r>
      <w:r>
        <w:rPr>
          <w:rFonts w:hint="eastAsia" w:ascii="Times New Roman" w:hAnsi="Times New Roman"/>
          <w:color w:val="000000"/>
          <w:sz w:val="24"/>
          <w:szCs w:val="24"/>
        </w:rPr>
        <w:t>。日本工业标准（JIS）发布的纺织品消臭测试方法（与ISO 17299等效），以及针对光催化材料的空气净化性能测试标准JIS R 1701系列，其中包括对乙醛（有刺激性气味的VOC）等物质分解效率的测定</w:t>
      </w:r>
      <w:r>
        <w:rPr>
          <w:rFonts w:hint="eastAsia" w:ascii="Times New Roman" w:hAnsi="Times New Roman"/>
          <w:color w:val="000000"/>
          <w:sz w:val="24"/>
          <w:szCs w:val="24"/>
          <w:lang w:eastAsia="zh-CN"/>
        </w:rPr>
        <w:t>，</w:t>
      </w:r>
      <w:r>
        <w:rPr>
          <w:rFonts w:hint="eastAsia" w:ascii="Times New Roman" w:hAnsi="Times New Roman"/>
          <w:color w:val="000000"/>
          <w:sz w:val="24"/>
          <w:szCs w:val="24"/>
          <w:lang w:val="en-US" w:eastAsia="zh-CN"/>
        </w:rPr>
        <w:t>但并未将感官评价指标纳入到要求中</w:t>
      </w:r>
      <w:r>
        <w:rPr>
          <w:rFonts w:hint="eastAsia" w:ascii="Times New Roman" w:hAnsi="Times New Roman"/>
          <w:color w:val="000000"/>
          <w:sz w:val="24"/>
          <w:szCs w:val="24"/>
        </w:rPr>
        <w:t>。总体而言，ISO、JIS、ASTM 等提供的试验方法为</w:t>
      </w:r>
      <w:r>
        <w:rPr>
          <w:rFonts w:hint="eastAsia" w:ascii="Times New Roman" w:hAnsi="Times New Roman"/>
          <w:color w:val="000000"/>
          <w:sz w:val="24"/>
          <w:szCs w:val="24"/>
          <w:lang w:val="en-US" w:eastAsia="zh-CN"/>
        </w:rPr>
        <w:t>评价</w:t>
      </w:r>
      <w:r>
        <w:rPr>
          <w:rFonts w:hint="eastAsia" w:ascii="Times New Roman" w:hAnsi="Times New Roman"/>
          <w:color w:val="000000"/>
          <w:sz w:val="24"/>
          <w:szCs w:val="24"/>
        </w:rPr>
        <w:t>除味/减味性能奠定了科学依据，但目前尚未形成统一的国际分级体系专门针对室内</w:t>
      </w:r>
      <w:r>
        <w:rPr>
          <w:rFonts w:hint="eastAsia" w:ascii="Times New Roman" w:hAnsi="Times New Roman"/>
          <w:color w:val="000000"/>
          <w:sz w:val="24"/>
          <w:szCs w:val="24"/>
          <w:lang w:val="en-US" w:eastAsia="zh-CN"/>
        </w:rPr>
        <w:t>净化</w:t>
      </w:r>
      <w:r>
        <w:rPr>
          <w:rFonts w:hint="eastAsia" w:ascii="Times New Roman" w:hAnsi="Times New Roman"/>
          <w:color w:val="000000"/>
          <w:sz w:val="24"/>
          <w:szCs w:val="24"/>
        </w:rPr>
        <w:t>材料的</w:t>
      </w:r>
      <w:r>
        <w:rPr>
          <w:rFonts w:hint="eastAsia" w:ascii="Times New Roman" w:hAnsi="Times New Roman"/>
          <w:color w:val="000000"/>
          <w:sz w:val="24"/>
          <w:szCs w:val="24"/>
          <w:lang w:val="en-US" w:eastAsia="zh-CN"/>
        </w:rPr>
        <w:t>净味</w:t>
      </w:r>
      <w:r>
        <w:rPr>
          <w:rFonts w:hint="eastAsia" w:ascii="Times New Roman" w:hAnsi="Times New Roman"/>
          <w:color w:val="000000"/>
          <w:sz w:val="24"/>
          <w:szCs w:val="24"/>
        </w:rPr>
        <w:t>性能进行等级划分。</w:t>
      </w:r>
    </w:p>
    <w:p w14:paraId="40C0CA20">
      <w:pPr>
        <w:spacing w:line="360" w:lineRule="auto"/>
        <w:rPr>
          <w:rFonts w:ascii="Times New Roman" w:hAnsi="Times New Roman"/>
          <w:color w:val="000000"/>
          <w:sz w:val="24"/>
          <w:szCs w:val="24"/>
        </w:rPr>
      </w:pPr>
      <w:r>
        <w:rPr>
          <w:rFonts w:hint="eastAsia" w:ascii="Times New Roman" w:hAnsi="Times New Roman"/>
          <w:color w:val="000000"/>
          <w:sz w:val="24"/>
          <w:szCs w:val="24"/>
        </w:rPr>
        <w:t>（2）</w:t>
      </w:r>
      <w:r>
        <w:rPr>
          <w:rFonts w:hint="eastAsia" w:ascii="Times New Roman" w:hAnsi="Times New Roman"/>
          <w:color w:val="000000"/>
          <w:sz w:val="24"/>
          <w:szCs w:val="24"/>
          <w:lang w:val="en-US" w:eastAsia="zh-CN"/>
        </w:rPr>
        <w:t>气味净化性能分级</w:t>
      </w:r>
      <w:r>
        <w:rPr>
          <w:rFonts w:hint="eastAsia" w:ascii="Times New Roman" w:hAnsi="Times New Roman"/>
          <w:color w:val="000000"/>
          <w:sz w:val="24"/>
          <w:szCs w:val="24"/>
        </w:rPr>
        <w:t>的选择依据</w:t>
      </w:r>
    </w:p>
    <w:p w14:paraId="3F17079D">
      <w:pPr>
        <w:spacing w:line="360" w:lineRule="auto"/>
        <w:ind w:firstLine="480" w:firstLineChars="200"/>
        <w:rPr>
          <w:rFonts w:ascii="Times New Roman" w:hAnsi="Times New Roman"/>
          <w:color w:val="000000"/>
          <w:sz w:val="24"/>
          <w:szCs w:val="24"/>
        </w:rPr>
      </w:pPr>
      <w:r>
        <w:rPr>
          <w:rFonts w:hint="eastAsia" w:ascii="Times New Roman" w:hAnsi="Times New Roman"/>
          <w:color w:val="000000"/>
          <w:sz w:val="24"/>
          <w:szCs w:val="24"/>
          <w:lang w:val="en-US" w:eastAsia="zh-CN"/>
        </w:rPr>
        <w:t>本文件</w:t>
      </w:r>
      <w:r>
        <w:rPr>
          <w:rFonts w:hint="eastAsia" w:ascii="Times New Roman" w:hAnsi="Times New Roman"/>
          <w:color w:val="000000"/>
          <w:sz w:val="24"/>
          <w:szCs w:val="24"/>
        </w:rPr>
        <w:t>共设置</w:t>
      </w:r>
      <w:r>
        <w:rPr>
          <w:rFonts w:hint="eastAsia" w:ascii="Times New Roman" w:hAnsi="Times New Roman"/>
          <w:color w:val="000000"/>
          <w:sz w:val="24"/>
          <w:szCs w:val="24"/>
          <w:lang w:val="en-US" w:eastAsia="zh-CN"/>
        </w:rPr>
        <w:t>N</w:t>
      </w:r>
      <w:r>
        <w:rPr>
          <w:rFonts w:hint="eastAsia" w:ascii="Times New Roman" w:hAnsi="Times New Roman"/>
          <w:color w:val="000000"/>
          <w:sz w:val="24"/>
          <w:szCs w:val="24"/>
        </w:rPr>
        <w:t>、A、</w:t>
      </w:r>
      <w:r>
        <w:rPr>
          <w:rFonts w:hint="eastAsia" w:ascii="Times New Roman" w:hAnsi="Times New Roman"/>
          <w:color w:val="000000"/>
          <w:sz w:val="24"/>
          <w:szCs w:val="24"/>
          <w:lang w:val="en-US" w:eastAsia="zh-CN"/>
        </w:rPr>
        <w:t>AA</w:t>
      </w:r>
      <w:r>
        <w:rPr>
          <w:rFonts w:hint="eastAsia" w:ascii="Times New Roman" w:hAnsi="Times New Roman"/>
          <w:color w:val="000000"/>
          <w:sz w:val="24"/>
          <w:szCs w:val="24"/>
        </w:rPr>
        <w:t>、</w:t>
      </w:r>
      <w:r>
        <w:rPr>
          <w:rFonts w:hint="eastAsia" w:ascii="Times New Roman" w:hAnsi="Times New Roman"/>
          <w:color w:val="000000"/>
          <w:sz w:val="24"/>
          <w:szCs w:val="24"/>
          <w:lang w:val="en-US" w:eastAsia="zh-CN"/>
        </w:rPr>
        <w:t>AAA</w:t>
      </w:r>
      <w:r>
        <w:rPr>
          <w:rFonts w:hint="eastAsia" w:ascii="Times New Roman" w:hAnsi="Times New Roman"/>
          <w:color w:val="000000"/>
          <w:sz w:val="24"/>
          <w:szCs w:val="24"/>
        </w:rPr>
        <w:t>四个</w:t>
      </w:r>
      <w:r>
        <w:rPr>
          <w:rFonts w:hint="eastAsia" w:ascii="Times New Roman" w:hAnsi="Times New Roman"/>
          <w:color w:val="000000"/>
          <w:sz w:val="24"/>
          <w:szCs w:val="24"/>
          <w:lang w:val="en-US" w:eastAsia="zh-CN"/>
        </w:rPr>
        <w:t>气味净化</w:t>
      </w:r>
      <w:r>
        <w:rPr>
          <w:rFonts w:hint="eastAsia" w:ascii="Times New Roman" w:hAnsi="Times New Roman"/>
          <w:color w:val="000000"/>
          <w:sz w:val="24"/>
          <w:szCs w:val="24"/>
        </w:rPr>
        <w:t>性能等级，这些等级的设定是为了让消费者能够更明确地了解</w:t>
      </w:r>
      <w:r>
        <w:rPr>
          <w:rFonts w:hint="eastAsia" w:ascii="Times New Roman" w:hAnsi="Times New Roman"/>
          <w:color w:val="000000"/>
          <w:sz w:val="24"/>
          <w:szCs w:val="24"/>
          <w:lang w:val="en-US" w:eastAsia="zh-CN"/>
        </w:rPr>
        <w:t>相关产品的功能性高低</w:t>
      </w:r>
      <w:r>
        <w:rPr>
          <w:rFonts w:hint="eastAsia" w:ascii="Times New Roman" w:hAnsi="Times New Roman"/>
          <w:color w:val="000000"/>
          <w:sz w:val="24"/>
          <w:szCs w:val="24"/>
        </w:rPr>
        <w:t>，同时也是为消费者在使用过程中提供</w:t>
      </w:r>
      <w:r>
        <w:rPr>
          <w:rFonts w:hint="eastAsia" w:ascii="Times New Roman" w:hAnsi="Times New Roman"/>
          <w:color w:val="000000"/>
          <w:sz w:val="24"/>
          <w:szCs w:val="24"/>
          <w:lang w:val="en-US" w:eastAsia="zh-CN"/>
        </w:rPr>
        <w:t>选择</w:t>
      </w:r>
      <w:r>
        <w:rPr>
          <w:rFonts w:hint="eastAsia" w:ascii="Times New Roman" w:hAnsi="Times New Roman"/>
          <w:color w:val="000000"/>
          <w:sz w:val="24"/>
          <w:szCs w:val="24"/>
        </w:rPr>
        <w:t>指导。具体分级的理由和依据如下：</w:t>
      </w:r>
    </w:p>
    <w:p w14:paraId="718BF1A4">
      <w:pPr>
        <w:spacing w:line="360" w:lineRule="auto"/>
        <w:ind w:firstLine="283" w:firstLineChars="118"/>
        <w:rPr>
          <w:rFonts w:ascii="Times New Roman" w:hAnsi="Times New Roman"/>
          <w:color w:val="000000"/>
          <w:sz w:val="24"/>
          <w:szCs w:val="24"/>
        </w:rPr>
      </w:pPr>
      <w:r>
        <w:rPr>
          <w:rFonts w:hint="eastAsia" w:ascii="Times New Roman" w:hAnsi="Times New Roman"/>
          <w:color w:val="000000"/>
          <w:sz w:val="24"/>
          <w:szCs w:val="24"/>
          <w:lang w:val="en-US" w:eastAsia="zh-CN"/>
        </w:rPr>
        <w:t>a</w:t>
      </w:r>
      <w:r>
        <w:rPr>
          <w:rFonts w:hint="eastAsia" w:ascii="Times New Roman" w:hAnsi="Times New Roman"/>
          <w:color w:val="000000"/>
          <w:sz w:val="24"/>
          <w:szCs w:val="24"/>
        </w:rPr>
        <w:t>）</w:t>
      </w:r>
      <w:r>
        <w:rPr>
          <w:rFonts w:hint="eastAsia" w:ascii="Times New Roman" w:hAnsi="Times New Roman"/>
          <w:color w:val="000000"/>
          <w:sz w:val="24"/>
          <w:szCs w:val="24"/>
          <w:lang w:val="en-US" w:eastAsia="zh-CN"/>
        </w:rPr>
        <w:t>N</w:t>
      </w:r>
      <w:r>
        <w:rPr>
          <w:rFonts w:hint="eastAsia" w:ascii="Times New Roman" w:hAnsi="Times New Roman"/>
          <w:color w:val="000000"/>
          <w:sz w:val="24"/>
          <w:szCs w:val="24"/>
        </w:rPr>
        <w:t>级产品：</w:t>
      </w:r>
    </w:p>
    <w:p w14:paraId="20C21817">
      <w:pPr>
        <w:spacing w:line="360" w:lineRule="auto"/>
        <w:ind w:firstLine="480" w:firstLineChars="200"/>
        <w:rPr>
          <w:rFonts w:ascii="Times New Roman" w:hAnsi="Times New Roman"/>
          <w:color w:val="000000"/>
          <w:sz w:val="24"/>
          <w:szCs w:val="24"/>
        </w:rPr>
      </w:pPr>
      <w:r>
        <w:rPr>
          <w:rFonts w:hint="eastAsia" w:ascii="Times New Roman" w:hAnsi="Times New Roman"/>
          <w:color w:val="000000"/>
          <w:sz w:val="24"/>
          <w:szCs w:val="24"/>
        </w:rPr>
        <w:t>表示净味效果不明显或未达到可察觉差异，作为“无显著净味能力”的基线。。</w:t>
      </w:r>
    </w:p>
    <w:p w14:paraId="5122F967">
      <w:pPr>
        <w:spacing w:line="360" w:lineRule="auto"/>
        <w:ind w:firstLine="283" w:firstLineChars="118"/>
        <w:rPr>
          <w:rFonts w:ascii="Times New Roman" w:hAnsi="Times New Roman"/>
          <w:color w:val="000000"/>
          <w:sz w:val="24"/>
          <w:szCs w:val="24"/>
        </w:rPr>
      </w:pPr>
      <w:r>
        <w:rPr>
          <w:rFonts w:hint="eastAsia" w:ascii="Times New Roman" w:hAnsi="Times New Roman"/>
          <w:color w:val="000000"/>
          <w:sz w:val="24"/>
          <w:szCs w:val="24"/>
          <w:lang w:val="en-US" w:eastAsia="zh-CN"/>
        </w:rPr>
        <w:t>b</w:t>
      </w:r>
      <w:r>
        <w:rPr>
          <w:rFonts w:hint="eastAsia" w:ascii="Times New Roman" w:hAnsi="Times New Roman"/>
          <w:color w:val="000000"/>
          <w:sz w:val="24"/>
          <w:szCs w:val="24"/>
        </w:rPr>
        <w:t>）A级产品：</w:t>
      </w:r>
    </w:p>
    <w:p w14:paraId="781E31E0">
      <w:pPr>
        <w:spacing w:line="360" w:lineRule="auto"/>
        <w:ind w:firstLine="480" w:firstLineChars="200"/>
        <w:rPr>
          <w:rFonts w:ascii="Times New Roman" w:hAnsi="Times New Roman"/>
          <w:color w:val="000000"/>
          <w:sz w:val="24"/>
          <w:szCs w:val="24"/>
        </w:rPr>
      </w:pPr>
      <w:r>
        <w:rPr>
          <w:rFonts w:hint="eastAsia" w:ascii="Times New Roman" w:hAnsi="Times New Roman"/>
          <w:color w:val="000000"/>
          <w:sz w:val="24"/>
          <w:szCs w:val="24"/>
        </w:rPr>
        <w:t>对应</w:t>
      </w:r>
      <w:r>
        <w:rPr>
          <w:rFonts w:hint="eastAsia" w:ascii="Times New Roman" w:hAnsi="Times New Roman"/>
          <w:color w:val="000000"/>
          <w:sz w:val="24"/>
          <w:szCs w:val="24"/>
          <w:lang w:val="en-US" w:eastAsia="zh-CN"/>
        </w:rPr>
        <w:t>气味污染降幅</w:t>
      </w:r>
      <w:r>
        <w:rPr>
          <w:rFonts w:hint="eastAsia" w:ascii="Times New Roman" w:hAnsi="Times New Roman"/>
          <w:color w:val="000000"/>
          <w:sz w:val="24"/>
          <w:szCs w:val="24"/>
        </w:rPr>
        <w:t>“刚好可察觉”的差异</w:t>
      </w:r>
      <w:r>
        <w:rPr>
          <w:rFonts w:hint="eastAsia" w:ascii="Times New Roman" w:hAnsi="Times New Roman"/>
          <w:color w:val="000000"/>
          <w:sz w:val="24"/>
          <w:szCs w:val="24"/>
          <w:lang w:val="en-US" w:eastAsia="zh-CN"/>
        </w:rPr>
        <w:t>水平</w:t>
      </w:r>
      <w:r>
        <w:rPr>
          <w:rFonts w:hint="eastAsia" w:ascii="Times New Roman" w:hAnsi="Times New Roman"/>
          <w:color w:val="000000"/>
          <w:sz w:val="24"/>
          <w:szCs w:val="24"/>
        </w:rPr>
        <w:t>（Just Noticeable Difference，JND），参照了嗅觉心理学中“一般人群可感知的最小强度差”。</w:t>
      </w:r>
    </w:p>
    <w:p w14:paraId="396C4361">
      <w:pPr>
        <w:spacing w:line="360" w:lineRule="auto"/>
        <w:ind w:firstLine="283" w:firstLineChars="118"/>
        <w:rPr>
          <w:rFonts w:ascii="Times New Roman" w:hAnsi="Times New Roman"/>
          <w:color w:val="000000"/>
          <w:sz w:val="24"/>
          <w:szCs w:val="24"/>
        </w:rPr>
      </w:pPr>
      <w:r>
        <w:rPr>
          <w:rFonts w:hint="eastAsia" w:ascii="Times New Roman" w:hAnsi="Times New Roman"/>
          <w:color w:val="000000"/>
          <w:sz w:val="24"/>
          <w:szCs w:val="24"/>
          <w:lang w:val="en-US" w:eastAsia="zh-CN"/>
        </w:rPr>
        <w:t>c</w:t>
      </w:r>
      <w:r>
        <w:rPr>
          <w:rFonts w:hint="eastAsia" w:ascii="Times New Roman" w:hAnsi="Times New Roman"/>
          <w:color w:val="000000"/>
          <w:sz w:val="24"/>
          <w:szCs w:val="24"/>
        </w:rPr>
        <w:t>）</w:t>
      </w:r>
      <w:r>
        <w:rPr>
          <w:rFonts w:hint="eastAsia" w:ascii="Times New Roman" w:hAnsi="Times New Roman"/>
          <w:color w:val="000000"/>
          <w:sz w:val="24"/>
          <w:szCs w:val="24"/>
          <w:lang w:val="en-US" w:eastAsia="zh-CN"/>
        </w:rPr>
        <w:t>AA</w:t>
      </w:r>
      <w:r>
        <w:rPr>
          <w:rFonts w:hint="eastAsia" w:ascii="Times New Roman" w:hAnsi="Times New Roman"/>
          <w:color w:val="000000"/>
          <w:sz w:val="24"/>
          <w:szCs w:val="24"/>
        </w:rPr>
        <w:t>级产品：</w:t>
      </w:r>
    </w:p>
    <w:p w14:paraId="0961B463">
      <w:pPr>
        <w:spacing w:line="360" w:lineRule="auto"/>
        <w:ind w:firstLine="480" w:firstLineChars="200"/>
        <w:rPr>
          <w:rFonts w:ascii="Times New Roman" w:hAnsi="Times New Roman"/>
          <w:color w:val="000000"/>
          <w:sz w:val="24"/>
          <w:szCs w:val="24"/>
        </w:rPr>
      </w:pPr>
      <w:r>
        <w:rPr>
          <w:rFonts w:hint="eastAsia" w:ascii="Times New Roman" w:hAnsi="Times New Roman"/>
          <w:color w:val="000000"/>
          <w:sz w:val="24"/>
          <w:szCs w:val="24"/>
        </w:rPr>
        <w:t>相当于</w:t>
      </w:r>
      <w:r>
        <w:rPr>
          <w:rFonts w:hint="eastAsia" w:ascii="Times New Roman" w:hAnsi="Times New Roman"/>
          <w:color w:val="000000"/>
          <w:sz w:val="24"/>
          <w:szCs w:val="24"/>
          <w:lang w:val="en-US" w:eastAsia="zh-CN"/>
        </w:rPr>
        <w:t>气味污染</w:t>
      </w:r>
      <w:r>
        <w:rPr>
          <w:rFonts w:hint="eastAsia" w:ascii="Times New Roman" w:hAnsi="Times New Roman"/>
          <w:color w:val="000000"/>
          <w:sz w:val="24"/>
          <w:szCs w:val="24"/>
        </w:rPr>
        <w:t>“明显可察觉”</w:t>
      </w:r>
      <w:r>
        <w:rPr>
          <w:rFonts w:hint="eastAsia" w:ascii="Times New Roman" w:hAnsi="Times New Roman"/>
          <w:color w:val="000000"/>
          <w:sz w:val="24"/>
          <w:szCs w:val="24"/>
          <w:lang w:val="en-US" w:eastAsia="zh-CN"/>
        </w:rPr>
        <w:t>降低</w:t>
      </w:r>
      <w:r>
        <w:rPr>
          <w:rFonts w:hint="eastAsia" w:ascii="Times New Roman" w:hAnsi="Times New Roman"/>
          <w:color w:val="000000"/>
          <w:sz w:val="24"/>
          <w:szCs w:val="24"/>
        </w:rPr>
        <w:t>，与</w:t>
      </w:r>
      <w:r>
        <w:rPr>
          <w:rFonts w:hint="eastAsia" w:ascii="Times New Roman" w:hAnsi="Times New Roman"/>
          <w:color w:val="000000"/>
          <w:sz w:val="24"/>
          <w:szCs w:val="24"/>
          <w:lang w:eastAsia="zh-CN"/>
        </w:rPr>
        <w:t>《</w:t>
      </w:r>
      <w:r>
        <w:rPr>
          <w:rFonts w:hint="eastAsia" w:ascii="Times New Roman" w:hAnsi="Times New Roman"/>
          <w:color w:val="000000"/>
          <w:sz w:val="24"/>
          <w:szCs w:val="24"/>
        </w:rPr>
        <w:t>绿色产品</w:t>
      </w:r>
      <w:r>
        <w:rPr>
          <w:rFonts w:hint="eastAsia" w:ascii="Times New Roman" w:hAnsi="Times New Roman"/>
          <w:color w:val="000000"/>
          <w:sz w:val="24"/>
          <w:szCs w:val="24"/>
          <w:lang w:val="en-US" w:eastAsia="zh-CN"/>
        </w:rPr>
        <w:t xml:space="preserve">评价 </w:t>
      </w:r>
      <w:r>
        <w:rPr>
          <w:rFonts w:hint="eastAsia" w:ascii="Times New Roman" w:hAnsi="Times New Roman"/>
          <w:color w:val="000000"/>
          <w:sz w:val="24"/>
          <w:szCs w:val="24"/>
        </w:rPr>
        <w:t>空气净化设备</w:t>
      </w:r>
      <w:r>
        <w:rPr>
          <w:rFonts w:hint="eastAsia" w:ascii="Times New Roman" w:hAnsi="Times New Roman"/>
          <w:color w:val="000000"/>
          <w:sz w:val="24"/>
          <w:szCs w:val="24"/>
          <w:lang w:eastAsia="zh-CN"/>
        </w:rPr>
        <w:t>》（</w:t>
      </w:r>
      <w:r>
        <w:rPr>
          <w:rFonts w:hint="eastAsia" w:ascii="Times New Roman" w:hAnsi="Times New Roman"/>
          <w:color w:val="000000"/>
          <w:sz w:val="24"/>
          <w:szCs w:val="24"/>
          <w:lang w:val="en-US" w:eastAsia="zh-CN"/>
        </w:rPr>
        <w:t>征求意见稿</w:t>
      </w:r>
      <w:r>
        <w:rPr>
          <w:rFonts w:hint="eastAsia" w:ascii="Times New Roman" w:hAnsi="Times New Roman"/>
          <w:color w:val="000000"/>
          <w:sz w:val="24"/>
          <w:szCs w:val="24"/>
          <w:lang w:eastAsia="zh-CN"/>
        </w:rPr>
        <w:t>）</w:t>
      </w:r>
      <w:r>
        <w:rPr>
          <w:rFonts w:hint="eastAsia" w:ascii="Times New Roman" w:hAnsi="Times New Roman"/>
          <w:color w:val="000000"/>
          <w:sz w:val="24"/>
          <w:szCs w:val="24"/>
        </w:rPr>
        <w:t>中“ΔOI≥2”的优秀水平一致。</w:t>
      </w:r>
    </w:p>
    <w:p w14:paraId="0451ECC5">
      <w:pPr>
        <w:spacing w:line="360" w:lineRule="auto"/>
        <w:ind w:firstLine="283" w:firstLineChars="118"/>
        <w:rPr>
          <w:rFonts w:hint="eastAsia" w:ascii="Times New Roman" w:hAnsi="Times New Roman" w:eastAsia="宋体"/>
          <w:color w:val="000000"/>
          <w:sz w:val="24"/>
          <w:szCs w:val="24"/>
          <w:lang w:eastAsia="zh-CN"/>
        </w:rPr>
      </w:pPr>
      <w:r>
        <w:rPr>
          <w:rFonts w:hint="eastAsia" w:ascii="Times New Roman" w:hAnsi="Times New Roman"/>
          <w:color w:val="000000"/>
          <w:sz w:val="24"/>
          <w:szCs w:val="24"/>
          <w:lang w:val="en-US" w:eastAsia="zh-CN"/>
        </w:rPr>
        <w:t>d</w:t>
      </w:r>
      <w:r>
        <w:rPr>
          <w:rFonts w:hint="eastAsia" w:ascii="Times New Roman" w:hAnsi="Times New Roman"/>
          <w:color w:val="000000"/>
          <w:sz w:val="24"/>
          <w:szCs w:val="24"/>
        </w:rPr>
        <w:t>）</w:t>
      </w:r>
      <w:r>
        <w:rPr>
          <w:rFonts w:hint="eastAsia" w:ascii="Times New Roman" w:hAnsi="Times New Roman"/>
          <w:color w:val="000000"/>
          <w:sz w:val="24"/>
          <w:szCs w:val="24"/>
          <w:lang w:val="en-US" w:eastAsia="zh-CN"/>
        </w:rPr>
        <w:t>AAA</w:t>
      </w:r>
      <w:r>
        <w:rPr>
          <w:rFonts w:hint="eastAsia" w:ascii="Times New Roman" w:hAnsi="Times New Roman"/>
          <w:color w:val="000000"/>
          <w:sz w:val="24"/>
          <w:szCs w:val="24"/>
        </w:rPr>
        <w:t>级产品</w:t>
      </w:r>
      <w:r>
        <w:rPr>
          <w:rFonts w:hint="eastAsia" w:ascii="Times New Roman" w:hAnsi="Times New Roman"/>
          <w:color w:val="000000"/>
          <w:sz w:val="24"/>
          <w:szCs w:val="24"/>
          <w:lang w:eastAsia="zh-CN"/>
        </w:rPr>
        <w:t>：</w:t>
      </w:r>
    </w:p>
    <w:p w14:paraId="1EE1A992">
      <w:pPr>
        <w:spacing w:line="360" w:lineRule="auto"/>
        <w:ind w:left="0" w:leftChars="0" w:firstLine="420" w:firstLineChars="175"/>
        <w:rPr>
          <w:rFonts w:hint="eastAsia" w:ascii="Times New Roman" w:hAnsi="Times New Roman"/>
          <w:color w:val="000000"/>
          <w:sz w:val="24"/>
          <w:szCs w:val="24"/>
        </w:rPr>
      </w:pPr>
      <w:r>
        <w:rPr>
          <w:rFonts w:hint="eastAsia" w:ascii="Times New Roman" w:hAnsi="Times New Roman"/>
          <w:color w:val="000000"/>
          <w:sz w:val="24"/>
          <w:szCs w:val="24"/>
        </w:rPr>
        <w:t>代表“显著改善”，即材料具备强净味能力，能在24小时作用下将室内典型异味降低</w:t>
      </w:r>
      <w:r>
        <w:rPr>
          <w:rFonts w:hint="eastAsia" w:ascii="Times New Roman" w:hAnsi="Times New Roman"/>
          <w:color w:val="000000"/>
          <w:sz w:val="24"/>
          <w:szCs w:val="24"/>
          <w:lang w:val="en-US" w:eastAsia="zh-CN"/>
        </w:rPr>
        <w:t>至少</w:t>
      </w:r>
      <w:r>
        <w:rPr>
          <w:rFonts w:hint="eastAsia" w:ascii="Times New Roman" w:hAnsi="Times New Roman"/>
          <w:color w:val="000000"/>
          <w:sz w:val="24"/>
          <w:szCs w:val="24"/>
        </w:rPr>
        <w:t>3 级，</w:t>
      </w:r>
      <w:r>
        <w:rPr>
          <w:rFonts w:hint="eastAsia" w:ascii="Times New Roman" w:hAnsi="Times New Roman"/>
          <w:color w:val="000000"/>
          <w:sz w:val="24"/>
          <w:szCs w:val="24"/>
          <w:lang w:val="en-US" w:eastAsia="zh-CN"/>
        </w:rPr>
        <w:t>相当于可以将异味污染减低至无法感知的水平</w:t>
      </w:r>
      <w:r>
        <w:rPr>
          <w:rFonts w:hint="eastAsia" w:ascii="Times New Roman" w:hAnsi="Times New Roman"/>
          <w:color w:val="000000"/>
          <w:sz w:val="24"/>
          <w:szCs w:val="24"/>
        </w:rPr>
        <w:t>。</w:t>
      </w:r>
    </w:p>
    <w:p w14:paraId="5C1AEBED">
      <w:pPr>
        <w:tabs>
          <w:tab w:val="left" w:pos="2692"/>
        </w:tabs>
        <w:spacing w:before="326" w:beforeLines="100" w:after="326" w:afterLines="100" w:line="360" w:lineRule="auto"/>
        <w:outlineLvl w:val="2"/>
        <w:rPr>
          <w:rFonts w:ascii="黑体" w:hAnsi="Times New Roman" w:eastAsia="黑体"/>
          <w:b/>
          <w:sz w:val="24"/>
          <w:szCs w:val="24"/>
        </w:rPr>
      </w:pPr>
      <w:bookmarkStart w:id="26" w:name="_Toc37601258"/>
      <w:bookmarkStart w:id="27" w:name="_Toc37604932"/>
      <w:r>
        <w:rPr>
          <w:rFonts w:ascii="黑体" w:hAnsi="Times New Roman" w:eastAsia="黑体"/>
          <w:b/>
          <w:sz w:val="24"/>
          <w:szCs w:val="24"/>
        </w:rPr>
        <w:t>2.3.3主要技术内容的说明</w:t>
      </w:r>
      <w:bookmarkEnd w:id="26"/>
      <w:bookmarkEnd w:id="27"/>
    </w:p>
    <w:p w14:paraId="1A0B3A7B">
      <w:pPr>
        <w:spacing w:line="360" w:lineRule="auto"/>
        <w:rPr>
          <w:rFonts w:hint="default" w:ascii="Times New Roman" w:eastAsia="宋体" w:hAnsiTheme="minorEastAsia"/>
          <w:kern w:val="0"/>
          <w:sz w:val="24"/>
          <w:szCs w:val="24"/>
          <w:lang w:val="en-US" w:eastAsia="zh-CN"/>
        </w:rPr>
      </w:pPr>
      <w:r>
        <w:rPr>
          <w:rFonts w:hint="eastAsia" w:ascii="Times New Roman" w:hAnsiTheme="minorEastAsia"/>
          <w:kern w:val="0"/>
          <w:sz w:val="24"/>
          <w:szCs w:val="24"/>
          <w:lang w:eastAsia="zh-CN"/>
        </w:rPr>
        <w:t>（</w:t>
      </w:r>
      <w:r>
        <w:rPr>
          <w:rFonts w:hint="eastAsia" w:ascii="Times New Roman" w:hAnsiTheme="minorEastAsia"/>
          <w:kern w:val="0"/>
          <w:sz w:val="24"/>
          <w:szCs w:val="24"/>
          <w:lang w:val="en-US" w:eastAsia="zh-CN"/>
        </w:rPr>
        <w:t>1</w:t>
      </w:r>
      <w:r>
        <w:rPr>
          <w:rFonts w:hint="eastAsia" w:ascii="Times New Roman" w:hAnsiTheme="minorEastAsia"/>
          <w:kern w:val="0"/>
          <w:sz w:val="24"/>
          <w:szCs w:val="24"/>
          <w:lang w:eastAsia="zh-CN"/>
        </w:rPr>
        <w:t>）</w:t>
      </w:r>
      <w:r>
        <w:rPr>
          <w:rFonts w:hint="eastAsia" w:ascii="Times New Roman" w:hAnsiTheme="minorEastAsia"/>
          <w:kern w:val="0"/>
          <w:sz w:val="24"/>
          <w:szCs w:val="24"/>
          <w:lang w:val="en-US" w:eastAsia="zh-CN"/>
        </w:rPr>
        <w:t>指标及评价方法</w:t>
      </w:r>
    </w:p>
    <w:p w14:paraId="0FD9C6AE">
      <w:pPr>
        <w:spacing w:line="360" w:lineRule="auto"/>
        <w:ind w:firstLine="540" w:firstLineChars="225"/>
        <w:rPr>
          <w:rFonts w:ascii="Times New Roman" w:hAnsiTheme="minorEastAsia"/>
          <w:kern w:val="0"/>
          <w:sz w:val="24"/>
          <w:szCs w:val="24"/>
        </w:rPr>
      </w:pPr>
      <w:r>
        <w:rPr>
          <w:rFonts w:hint="eastAsia" w:ascii="Times New Roman" w:hAnsiTheme="minorEastAsia"/>
          <w:kern w:val="0"/>
          <w:sz w:val="24"/>
          <w:szCs w:val="24"/>
        </w:rPr>
        <w:t>气味是指人的</w:t>
      </w:r>
      <w:r>
        <w:rPr>
          <w:rFonts w:ascii="Times New Roman" w:hAnsiTheme="minorEastAsia"/>
          <w:kern w:val="0"/>
          <w:sz w:val="24"/>
          <w:szCs w:val="24"/>
        </w:rPr>
        <w:t>嗅觉系统</w:t>
      </w:r>
      <w:r>
        <w:rPr>
          <w:rFonts w:hint="eastAsia" w:ascii="Times New Roman" w:hAnsiTheme="minorEastAsia"/>
          <w:kern w:val="0"/>
          <w:sz w:val="24"/>
          <w:szCs w:val="24"/>
        </w:rPr>
        <w:t>对于某种气味物质产生</w:t>
      </w:r>
      <w:r>
        <w:rPr>
          <w:rFonts w:ascii="Times New Roman" w:hAnsiTheme="minorEastAsia"/>
          <w:kern w:val="0"/>
          <w:sz w:val="24"/>
          <w:szCs w:val="24"/>
        </w:rPr>
        <w:t>的</w:t>
      </w:r>
      <w:r>
        <w:rPr>
          <w:rFonts w:hint="eastAsia" w:ascii="Times New Roman" w:hAnsiTheme="minorEastAsia"/>
          <w:kern w:val="0"/>
          <w:sz w:val="24"/>
          <w:szCs w:val="24"/>
        </w:rPr>
        <w:t>生理反应</w:t>
      </w:r>
      <w:r>
        <w:rPr>
          <w:rFonts w:ascii="Times New Roman" w:hAnsiTheme="minorEastAsia"/>
          <w:kern w:val="0"/>
          <w:sz w:val="24"/>
          <w:szCs w:val="24"/>
        </w:rPr>
        <w:t>，</w:t>
      </w:r>
      <w:r>
        <w:rPr>
          <w:rFonts w:hint="eastAsia" w:ascii="Times New Roman" w:hAnsiTheme="minorEastAsia"/>
          <w:kern w:val="0"/>
          <w:sz w:val="24"/>
          <w:szCs w:val="24"/>
        </w:rPr>
        <w:t>评价</w:t>
      </w:r>
      <w:r>
        <w:rPr>
          <w:rFonts w:ascii="Times New Roman" w:hAnsiTheme="minorEastAsia"/>
          <w:kern w:val="0"/>
          <w:sz w:val="24"/>
          <w:szCs w:val="24"/>
        </w:rPr>
        <w:t>气味的指标有：气味强度、气味浓度、</w:t>
      </w:r>
      <w:r>
        <w:rPr>
          <w:rFonts w:hint="eastAsia" w:ascii="Times New Roman" w:hAnsiTheme="minorEastAsia"/>
          <w:kern w:val="0"/>
          <w:sz w:val="24"/>
          <w:szCs w:val="24"/>
        </w:rPr>
        <w:t>气味</w:t>
      </w:r>
      <w:r>
        <w:rPr>
          <w:rFonts w:ascii="Times New Roman" w:hAnsiTheme="minorEastAsia"/>
          <w:kern w:val="0"/>
          <w:sz w:val="24"/>
          <w:szCs w:val="24"/>
        </w:rPr>
        <w:t>阈值、</w:t>
      </w:r>
      <w:r>
        <w:rPr>
          <w:rFonts w:hint="eastAsia" w:ascii="Times New Roman" w:hAnsiTheme="minorEastAsia"/>
          <w:kern w:val="0"/>
          <w:sz w:val="24"/>
          <w:szCs w:val="24"/>
        </w:rPr>
        <w:t>愉悦度</w:t>
      </w:r>
      <w:r>
        <w:rPr>
          <w:rFonts w:ascii="Times New Roman" w:hAnsiTheme="minorEastAsia"/>
          <w:kern w:val="0"/>
          <w:sz w:val="24"/>
          <w:szCs w:val="24"/>
        </w:rPr>
        <w:t>、可接受度、不满意率、消散时间等</w:t>
      </w:r>
      <w:r>
        <w:rPr>
          <w:rFonts w:hint="eastAsia" w:ascii="Times New Roman" w:hAnsiTheme="minorEastAsia"/>
          <w:kern w:val="0"/>
          <w:sz w:val="24"/>
          <w:szCs w:val="24"/>
        </w:rPr>
        <w:t>。不同</w:t>
      </w:r>
      <w:r>
        <w:rPr>
          <w:rFonts w:ascii="Times New Roman" w:hAnsiTheme="minorEastAsia"/>
          <w:kern w:val="0"/>
          <w:sz w:val="24"/>
          <w:szCs w:val="24"/>
        </w:rPr>
        <w:t>气味指标可以从不同角度对气味污染情况以及对人的影响作出评价。</w:t>
      </w:r>
    </w:p>
    <w:p w14:paraId="30A7C40C">
      <w:pPr>
        <w:spacing w:line="360" w:lineRule="auto"/>
        <w:ind w:firstLine="540" w:firstLineChars="225"/>
        <w:rPr>
          <w:rFonts w:hint="eastAsia" w:ascii="Times New Roman" w:hAnsiTheme="minorEastAsia"/>
          <w:kern w:val="0"/>
          <w:sz w:val="24"/>
          <w:szCs w:val="24"/>
        </w:rPr>
      </w:pPr>
      <w:r>
        <w:rPr>
          <w:rFonts w:hint="eastAsia" w:ascii="Times New Roman" w:hAnsiTheme="minorEastAsia"/>
          <w:kern w:val="0"/>
          <w:sz w:val="24"/>
          <w:szCs w:val="24"/>
        </w:rPr>
        <w:t>气</w:t>
      </w:r>
      <w:r>
        <w:rPr>
          <w:rFonts w:ascii="Times New Roman" w:hAnsiTheme="minorEastAsia"/>
          <w:kern w:val="0"/>
          <w:sz w:val="24"/>
          <w:szCs w:val="24"/>
        </w:rPr>
        <w:t>味强度（odor intensity）表示人的嗅觉系统所受到的</w:t>
      </w:r>
      <w:r>
        <w:rPr>
          <w:rFonts w:hint="eastAsia" w:ascii="Times New Roman" w:hAnsiTheme="minorEastAsia"/>
          <w:kern w:val="0"/>
          <w:sz w:val="24"/>
          <w:szCs w:val="24"/>
        </w:rPr>
        <w:t>气味</w:t>
      </w:r>
      <w:r>
        <w:rPr>
          <w:rFonts w:ascii="Times New Roman" w:hAnsiTheme="minorEastAsia"/>
          <w:kern w:val="0"/>
          <w:sz w:val="24"/>
          <w:szCs w:val="24"/>
        </w:rPr>
        <w:t>刺激的强烈程度</w:t>
      </w:r>
      <w:r>
        <w:rPr>
          <w:rFonts w:hint="eastAsia" w:ascii="Times New Roman" w:hAnsiTheme="minorEastAsia"/>
          <w:kern w:val="0"/>
          <w:sz w:val="24"/>
          <w:szCs w:val="24"/>
        </w:rPr>
        <w:t>，评价</w:t>
      </w:r>
      <w:r>
        <w:rPr>
          <w:rFonts w:ascii="Times New Roman" w:hAnsiTheme="minorEastAsia"/>
          <w:kern w:val="0"/>
          <w:sz w:val="24"/>
          <w:szCs w:val="24"/>
        </w:rPr>
        <w:t>方法主要分为阶段法和参考基准法，</w:t>
      </w:r>
      <w:r>
        <w:rPr>
          <w:rFonts w:hint="eastAsia" w:ascii="Times New Roman" w:hAnsiTheme="minorEastAsia"/>
          <w:kern w:val="0"/>
          <w:sz w:val="24"/>
          <w:szCs w:val="24"/>
        </w:rPr>
        <w:t>阶段法是指气味评价人</w:t>
      </w:r>
      <w:r>
        <w:rPr>
          <w:rFonts w:ascii="Times New Roman" w:hAnsiTheme="minorEastAsia"/>
          <w:kern w:val="0"/>
          <w:sz w:val="24"/>
          <w:szCs w:val="24"/>
        </w:rPr>
        <w:t>员</w:t>
      </w:r>
      <w:r>
        <w:rPr>
          <w:rFonts w:hint="eastAsia" w:ascii="Times New Roman" w:hAnsiTheme="minorEastAsia"/>
          <w:kern w:val="0"/>
          <w:sz w:val="24"/>
          <w:szCs w:val="24"/>
        </w:rPr>
        <w:t>使用一系列经过定义的数字量级来表示气味样本的气味强度级别。目前我国和韩国、日本使用相同的强度分阶标准，即按人的嗅觉感知能力将气味强度分为</w:t>
      </w:r>
      <w:r>
        <w:rPr>
          <w:rFonts w:hint="eastAsia" w:ascii="Times New Roman" w:hAnsiTheme="minorEastAsia"/>
          <w:kern w:val="0"/>
          <w:sz w:val="24"/>
          <w:szCs w:val="24"/>
          <w:lang w:val="en-US" w:eastAsia="zh-CN"/>
        </w:rPr>
        <w:t>0～6七个阶段</w:t>
      </w:r>
      <w:r>
        <w:rPr>
          <w:rFonts w:hint="eastAsia" w:ascii="Times New Roman" w:hAnsiTheme="minorEastAsia"/>
          <w:kern w:val="0"/>
          <w:sz w:val="24"/>
          <w:szCs w:val="24"/>
          <w:lang w:eastAsia="zh-CN"/>
        </w:rPr>
        <w:t>、</w:t>
      </w:r>
      <w:r>
        <w:rPr>
          <w:rFonts w:hint="eastAsia" w:ascii="Times New Roman" w:hAnsiTheme="minorEastAsia"/>
          <w:kern w:val="0"/>
          <w:sz w:val="24"/>
          <w:szCs w:val="24"/>
        </w:rPr>
        <w:t>0~5六个阶段或1</w:t>
      </w:r>
      <w:r>
        <w:rPr>
          <w:rFonts w:ascii="Times New Roman" w:hAnsiTheme="minorEastAsia"/>
          <w:kern w:val="0"/>
          <w:sz w:val="24"/>
          <w:szCs w:val="24"/>
        </w:rPr>
        <w:t>~5</w:t>
      </w:r>
      <w:r>
        <w:rPr>
          <w:rFonts w:hint="eastAsia" w:ascii="Times New Roman" w:hAnsiTheme="minorEastAsia"/>
          <w:kern w:val="0"/>
          <w:sz w:val="24"/>
          <w:szCs w:val="24"/>
        </w:rPr>
        <w:t>五个</w:t>
      </w:r>
      <w:r>
        <w:rPr>
          <w:rFonts w:ascii="Times New Roman" w:hAnsiTheme="minorEastAsia"/>
          <w:kern w:val="0"/>
          <w:sz w:val="24"/>
          <w:szCs w:val="24"/>
        </w:rPr>
        <w:t>阶段</w:t>
      </w:r>
      <w:r>
        <w:rPr>
          <w:rFonts w:hint="eastAsia" w:ascii="Times New Roman" w:hAnsiTheme="minorEastAsia"/>
          <w:kern w:val="0"/>
          <w:sz w:val="24"/>
          <w:szCs w:val="24"/>
        </w:rPr>
        <w:t>，美国、欧洲等其他</w:t>
      </w:r>
      <w:r>
        <w:rPr>
          <w:rFonts w:ascii="Times New Roman" w:hAnsiTheme="minorEastAsia"/>
          <w:kern w:val="0"/>
          <w:sz w:val="24"/>
          <w:szCs w:val="24"/>
        </w:rPr>
        <w:t>国家多</w:t>
      </w:r>
      <w:r>
        <w:rPr>
          <w:rFonts w:hint="eastAsia" w:ascii="Times New Roman" w:hAnsiTheme="minorEastAsia"/>
          <w:kern w:val="0"/>
          <w:sz w:val="24"/>
          <w:szCs w:val="24"/>
        </w:rPr>
        <w:t>使用0~6七个阶段和1</w:t>
      </w:r>
      <w:r>
        <w:rPr>
          <w:rFonts w:ascii="Times New Roman" w:hAnsiTheme="minorEastAsia"/>
          <w:kern w:val="0"/>
          <w:sz w:val="24"/>
          <w:szCs w:val="24"/>
        </w:rPr>
        <w:t>~10</w:t>
      </w:r>
      <w:r>
        <w:rPr>
          <w:rFonts w:hint="eastAsia" w:ascii="Times New Roman" w:hAnsiTheme="minorEastAsia"/>
          <w:kern w:val="0"/>
          <w:sz w:val="24"/>
          <w:szCs w:val="24"/>
        </w:rPr>
        <w:t>十个阶段</w:t>
      </w:r>
      <w:r>
        <w:rPr>
          <w:rFonts w:ascii="Times New Roman" w:hAnsiTheme="minorEastAsia"/>
          <w:kern w:val="0"/>
          <w:sz w:val="24"/>
          <w:szCs w:val="24"/>
        </w:rPr>
        <w:t>。</w:t>
      </w:r>
      <w:r>
        <w:rPr>
          <w:rFonts w:hint="eastAsia" w:ascii="Times New Roman" w:hAnsiTheme="minorEastAsia"/>
          <w:kern w:val="0"/>
          <w:sz w:val="24"/>
          <w:szCs w:val="24"/>
        </w:rPr>
        <w:t>所谓参考基准法即选定一种参考物质，在测试时稀释成不同浓度让气味评价</w:t>
      </w:r>
      <w:r>
        <w:rPr>
          <w:rFonts w:ascii="Times New Roman" w:hAnsiTheme="minorEastAsia"/>
          <w:kern w:val="0"/>
          <w:sz w:val="24"/>
          <w:szCs w:val="24"/>
        </w:rPr>
        <w:t>人员</w:t>
      </w:r>
      <w:r>
        <w:rPr>
          <w:rFonts w:hint="eastAsia" w:ascii="Times New Roman" w:hAnsiTheme="minorEastAsia"/>
          <w:kern w:val="0"/>
          <w:sz w:val="24"/>
          <w:szCs w:val="24"/>
        </w:rPr>
        <w:t>作为依据，嗅辨员即依照这些参考气体来定义待测气体的强度。美国材料测试协会所规定的ASTM E-544“阈上异味强度评价方法”（Standard Practices for Referencing Suprathreshold Odor Intensity）即为此类方法。国际标准化组织发布的I</w:t>
      </w:r>
      <w:r>
        <w:rPr>
          <w:rFonts w:ascii="Times New Roman" w:hAnsiTheme="minorEastAsia"/>
          <w:kern w:val="0"/>
          <w:sz w:val="24"/>
          <w:szCs w:val="24"/>
        </w:rPr>
        <w:t>SO 16000-28</w:t>
      </w:r>
      <w:r>
        <w:rPr>
          <w:rFonts w:hint="eastAsia" w:ascii="Times New Roman" w:hAnsiTheme="minorEastAsia"/>
          <w:kern w:val="0"/>
          <w:sz w:val="24"/>
          <w:szCs w:val="24"/>
        </w:rPr>
        <w:t>：2</w:t>
      </w:r>
      <w:r>
        <w:rPr>
          <w:rFonts w:ascii="Times New Roman" w:hAnsiTheme="minorEastAsia"/>
          <w:kern w:val="0"/>
          <w:sz w:val="24"/>
          <w:szCs w:val="24"/>
        </w:rPr>
        <w:t>020</w:t>
      </w:r>
      <w:r>
        <w:rPr>
          <w:rFonts w:hint="eastAsia" w:ascii="Times New Roman" w:hAnsiTheme="minorEastAsia"/>
          <w:kern w:val="0"/>
          <w:sz w:val="24"/>
          <w:szCs w:val="24"/>
        </w:rPr>
        <w:t>“室内空气第2</w:t>
      </w:r>
      <w:r>
        <w:rPr>
          <w:rFonts w:ascii="Times New Roman" w:hAnsiTheme="minorEastAsia"/>
          <w:kern w:val="0"/>
          <w:sz w:val="24"/>
          <w:szCs w:val="24"/>
        </w:rPr>
        <w:t>8</w:t>
      </w:r>
      <w:r>
        <w:rPr>
          <w:rFonts w:hint="eastAsia" w:ascii="Times New Roman" w:hAnsiTheme="minorEastAsia"/>
          <w:kern w:val="0"/>
          <w:sz w:val="24"/>
          <w:szCs w:val="24"/>
        </w:rPr>
        <w:t>部分 建材产品气味释放测试 环境测试舱法”中规定的以不同浓度丙酮作为参考基准气体。</w:t>
      </w:r>
    </w:p>
    <w:p w14:paraId="730C4263">
      <w:pPr>
        <w:spacing w:line="360" w:lineRule="auto"/>
        <w:ind w:firstLine="480"/>
        <w:rPr>
          <w:rFonts w:ascii="Times New Roman" w:hAnsi="Times New Roman"/>
          <w:sz w:val="24"/>
          <w:szCs w:val="24"/>
        </w:rPr>
      </w:pPr>
      <w:r>
        <w:rPr>
          <w:rFonts w:hint="eastAsia" w:ascii="Times New Roman" w:hAnsi="Times New Roman"/>
          <w:sz w:val="24"/>
          <w:szCs w:val="24"/>
          <w:lang w:eastAsia="zh-CN"/>
        </w:rPr>
        <w:t>本文件</w:t>
      </w:r>
      <w:r>
        <w:rPr>
          <w:rFonts w:hint="eastAsia" w:ascii="Times New Roman" w:hAnsi="Times New Roman"/>
          <w:sz w:val="24"/>
          <w:szCs w:val="24"/>
        </w:rPr>
        <w:t>的气味强度评价方法引用</w:t>
      </w:r>
      <w:r>
        <w:rPr>
          <w:rFonts w:ascii="Times New Roman" w:hAnsi="Times New Roman"/>
          <w:sz w:val="24"/>
          <w:szCs w:val="24"/>
        </w:rPr>
        <w:t>T/CBMF 118.1-2021</w:t>
      </w:r>
      <w:r>
        <w:rPr>
          <w:rFonts w:hint="eastAsia" w:ascii="Times New Roman" w:hAnsi="Times New Roman"/>
          <w:sz w:val="24"/>
          <w:szCs w:val="24"/>
        </w:rPr>
        <w:t>中的气味强度-七阶段法，该方法主要参考I</w:t>
      </w:r>
      <w:r>
        <w:rPr>
          <w:rFonts w:ascii="Times New Roman" w:hAnsi="Times New Roman"/>
          <w:sz w:val="24"/>
          <w:szCs w:val="24"/>
        </w:rPr>
        <w:t>SO 16000</w:t>
      </w:r>
      <w:r>
        <w:rPr>
          <w:rFonts w:hint="eastAsia" w:ascii="Times New Roman" w:hAnsi="Times New Roman"/>
          <w:sz w:val="24"/>
          <w:szCs w:val="24"/>
        </w:rPr>
        <w:t>-</w:t>
      </w:r>
      <w:r>
        <w:rPr>
          <w:rFonts w:ascii="Times New Roman" w:hAnsi="Times New Roman"/>
          <w:sz w:val="24"/>
          <w:szCs w:val="24"/>
        </w:rPr>
        <w:t>30</w:t>
      </w:r>
      <w:r>
        <w:rPr>
          <w:rFonts w:hint="eastAsia" w:ascii="Times New Roman" w:hAnsi="Times New Roman"/>
          <w:sz w:val="24"/>
          <w:szCs w:val="24"/>
        </w:rPr>
        <w:t>《室内空气第30部分—室内空气的感官测定》中0至</w:t>
      </w:r>
      <w:r>
        <w:rPr>
          <w:rFonts w:ascii="Times New Roman" w:hAnsi="Times New Roman"/>
          <w:sz w:val="24"/>
          <w:szCs w:val="24"/>
        </w:rPr>
        <w:t>6</w:t>
      </w:r>
      <w:r>
        <w:rPr>
          <w:rFonts w:hint="eastAsia" w:ascii="Times New Roman" w:hAnsi="Times New Roman"/>
          <w:sz w:val="24"/>
          <w:szCs w:val="24"/>
        </w:rPr>
        <w:t>级七阶段气味强度评价法。气味样本主要通过原始气体嗅辨仪呈递给气味评价员，原始</w:t>
      </w:r>
      <w:r>
        <w:rPr>
          <w:rFonts w:ascii="Times New Roman" w:hAnsi="Times New Roman"/>
          <w:sz w:val="24"/>
          <w:szCs w:val="24"/>
        </w:rPr>
        <w:t>气体嗅辨仪示意图参考</w:t>
      </w:r>
      <w:r>
        <w:rPr>
          <w:rFonts w:hint="eastAsia" w:ascii="Times New Roman" w:hAnsi="Times New Roman"/>
          <w:sz w:val="24"/>
          <w:szCs w:val="24"/>
        </w:rPr>
        <w:t>自ISO 12219-7:2017《乘用车</w:t>
      </w:r>
      <w:r>
        <w:rPr>
          <w:rFonts w:ascii="Times New Roman" w:hAnsi="Times New Roman"/>
          <w:sz w:val="24"/>
          <w:szCs w:val="24"/>
        </w:rPr>
        <w:t>室内空气</w:t>
      </w:r>
      <w:r>
        <w:rPr>
          <w:rFonts w:hint="eastAsia" w:ascii="Times New Roman" w:hAnsi="Times New Roman"/>
          <w:sz w:val="24"/>
          <w:szCs w:val="24"/>
        </w:rPr>
        <w:t>第7部分</w:t>
      </w:r>
      <w:r>
        <w:rPr>
          <w:rFonts w:ascii="Times New Roman" w:hAnsi="Times New Roman"/>
          <w:sz w:val="24"/>
          <w:szCs w:val="24"/>
        </w:rPr>
        <w:t>用嗅觉测量法测定道路车辆内部空气和内饰件的气味</w:t>
      </w:r>
      <w:r>
        <w:rPr>
          <w:rFonts w:hint="eastAsia" w:ascii="Times New Roman" w:hAnsi="Times New Roman"/>
          <w:sz w:val="24"/>
          <w:szCs w:val="24"/>
        </w:rPr>
        <w:t>》评价装置示意见图</w:t>
      </w:r>
      <w:r>
        <w:rPr>
          <w:rFonts w:ascii="Times New Roman" w:hAnsi="Times New Roman"/>
          <w:sz w:val="24"/>
          <w:szCs w:val="24"/>
        </w:rPr>
        <w:t>3</w:t>
      </w:r>
      <w:r>
        <w:rPr>
          <w:rFonts w:hint="eastAsia" w:ascii="Times New Roman" w:hAnsi="Times New Roman"/>
          <w:sz w:val="24"/>
          <w:szCs w:val="24"/>
        </w:rPr>
        <w:t>。本装置可以保证采集的气味样本以恒定的流速呈递给气味评价员，并且最低0</w:t>
      </w:r>
      <w:r>
        <w:rPr>
          <w:rFonts w:ascii="Times New Roman" w:hAnsi="Times New Roman"/>
          <w:sz w:val="24"/>
          <w:szCs w:val="24"/>
        </w:rPr>
        <w:t>.6L</w:t>
      </w:r>
      <w:r>
        <w:rPr>
          <w:rFonts w:hint="eastAsia" w:ascii="Times New Roman" w:hAnsi="Times New Roman"/>
          <w:sz w:val="24"/>
          <w:szCs w:val="24"/>
        </w:rPr>
        <w:t>/</w:t>
      </w:r>
      <w:r>
        <w:rPr>
          <w:rFonts w:ascii="Times New Roman" w:hAnsi="Times New Roman"/>
          <w:sz w:val="24"/>
          <w:szCs w:val="24"/>
        </w:rPr>
        <w:t>s</w:t>
      </w:r>
      <w:r>
        <w:rPr>
          <w:rFonts w:hint="eastAsia" w:ascii="Times New Roman" w:hAnsi="Times New Roman"/>
          <w:sz w:val="24"/>
          <w:szCs w:val="24"/>
        </w:rPr>
        <w:t>的流速可以避免环境空气对呈递气味样本的稀释。设备的原理就是通过气泵向密封箱体中以恒定流速充入气体，气袋中的气体被挤压从嗅辨口排出，供气味评价员进行嗅闻。</w:t>
      </w:r>
    </w:p>
    <w:p w14:paraId="57ECED44">
      <w:pPr>
        <w:spacing w:line="360" w:lineRule="auto"/>
        <w:jc w:val="center"/>
        <w:rPr>
          <w:rFonts w:ascii="Times New Roman" w:hAnsi="Times New Roman"/>
          <w:sz w:val="24"/>
          <w:szCs w:val="24"/>
        </w:rPr>
      </w:pPr>
      <w:r>
        <w:rPr>
          <w:rFonts w:asciiTheme="minorEastAsia" w:hAnsiTheme="minorEastAsia" w:eastAsiaTheme="minorEastAsia" w:cstheme="minorEastAsia"/>
        </w:rPr>
        <w:drawing>
          <wp:inline distT="0" distB="0" distL="0" distR="0">
            <wp:extent cx="3254375" cy="3666490"/>
            <wp:effectExtent l="0" t="0" r="3175"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extLst>
                        <a:ext uri="{28A0092B-C50C-407E-A947-70E740481C1C}">
                          <a14:useLocalDpi xmlns:a14="http://schemas.microsoft.com/office/drawing/2010/main" val="0"/>
                        </a:ext>
                      </a:extLst>
                    </a:blip>
                    <a:srcRect l="37682" t="9281" r="23722" b="13430"/>
                    <a:stretch>
                      <a:fillRect/>
                    </a:stretch>
                  </pic:blipFill>
                  <pic:spPr>
                    <a:xfrm>
                      <a:off x="0" y="0"/>
                      <a:ext cx="3288864" cy="3704810"/>
                    </a:xfrm>
                    <a:prstGeom prst="rect">
                      <a:avLst/>
                    </a:prstGeom>
                    <a:ln>
                      <a:noFill/>
                    </a:ln>
                  </pic:spPr>
                </pic:pic>
              </a:graphicData>
            </a:graphic>
          </wp:inline>
        </w:drawing>
      </w:r>
    </w:p>
    <w:p w14:paraId="64E9F0A4">
      <w:pPr>
        <w:widowControl/>
        <w:tabs>
          <w:tab w:val="center" w:pos="4201"/>
          <w:tab w:val="right" w:leader="dot" w:pos="9298"/>
        </w:tabs>
        <w:autoSpaceDE w:val="0"/>
        <w:autoSpaceDN w:val="0"/>
        <w:spacing w:line="360" w:lineRule="auto"/>
        <w:rPr>
          <w:rFonts w:ascii="宋体" w:hAnsi="Times New Roman"/>
          <w:kern w:val="0"/>
          <w:szCs w:val="20"/>
        </w:rPr>
      </w:pPr>
      <w:r>
        <w:rPr>
          <w:rFonts w:hint="eastAsia" w:ascii="宋体" w:hAnsi="Times New Roman"/>
          <w:kern w:val="0"/>
          <w:szCs w:val="20"/>
        </w:rPr>
        <w:t>标引序号说明：</w:t>
      </w:r>
    </w:p>
    <w:p w14:paraId="0A2349D2">
      <w:pPr>
        <w:widowControl/>
        <w:tabs>
          <w:tab w:val="center" w:pos="4201"/>
          <w:tab w:val="right" w:leader="dot" w:pos="9298"/>
        </w:tabs>
        <w:autoSpaceDE w:val="0"/>
        <w:autoSpaceDN w:val="0"/>
        <w:rPr>
          <w:rFonts w:ascii="宋体" w:hAnsi="Times New Roman"/>
          <w:i/>
          <w:kern w:val="0"/>
          <w:szCs w:val="20"/>
        </w:rPr>
      </w:pPr>
      <w:r>
        <w:rPr>
          <w:rFonts w:ascii="宋体" w:hAnsi="Times New Roman"/>
          <w:i/>
          <w:kern w:val="0"/>
          <w:szCs w:val="20"/>
        </w:rPr>
        <w:t>1——</w:t>
      </w:r>
      <w:r>
        <w:rPr>
          <w:rFonts w:ascii="宋体" w:hAnsi="Times New Roman"/>
          <w:kern w:val="0"/>
          <w:szCs w:val="20"/>
        </w:rPr>
        <w:t>嗅辨口</w:t>
      </w:r>
      <w:r>
        <w:rPr>
          <w:rFonts w:hint="eastAsia" w:ascii="宋体" w:hAnsi="Times New Roman"/>
          <w:i/>
          <w:kern w:val="0"/>
          <w:szCs w:val="20"/>
        </w:rPr>
        <w:t>；</w:t>
      </w:r>
    </w:p>
    <w:p w14:paraId="04F6F36E">
      <w:pPr>
        <w:widowControl/>
        <w:tabs>
          <w:tab w:val="center" w:pos="4201"/>
          <w:tab w:val="right" w:leader="dot" w:pos="9298"/>
        </w:tabs>
        <w:autoSpaceDE w:val="0"/>
        <w:autoSpaceDN w:val="0"/>
        <w:rPr>
          <w:rFonts w:ascii="宋体" w:hAnsi="Times New Roman"/>
          <w:i/>
          <w:kern w:val="0"/>
          <w:szCs w:val="20"/>
        </w:rPr>
      </w:pPr>
      <w:r>
        <w:rPr>
          <w:rFonts w:ascii="宋体" w:hAnsi="Times New Roman"/>
          <w:i/>
          <w:kern w:val="0"/>
          <w:szCs w:val="20"/>
        </w:rPr>
        <w:t>2——</w:t>
      </w:r>
      <w:r>
        <w:rPr>
          <w:rFonts w:hint="eastAsia" w:ascii="宋体" w:hAnsi="Times New Roman"/>
          <w:kern w:val="0"/>
          <w:szCs w:val="20"/>
        </w:rPr>
        <w:t>密封箱体</w:t>
      </w:r>
      <w:r>
        <w:rPr>
          <w:rFonts w:hint="eastAsia" w:ascii="宋体" w:hAnsi="Times New Roman"/>
          <w:i/>
          <w:kern w:val="0"/>
          <w:szCs w:val="20"/>
        </w:rPr>
        <w:t>；</w:t>
      </w:r>
    </w:p>
    <w:p w14:paraId="0881F3F1">
      <w:pPr>
        <w:widowControl/>
        <w:tabs>
          <w:tab w:val="center" w:pos="4201"/>
          <w:tab w:val="right" w:leader="dot" w:pos="9298"/>
        </w:tabs>
        <w:autoSpaceDE w:val="0"/>
        <w:autoSpaceDN w:val="0"/>
        <w:rPr>
          <w:rFonts w:ascii="宋体" w:hAnsi="Times New Roman"/>
          <w:i/>
          <w:kern w:val="0"/>
          <w:szCs w:val="20"/>
        </w:rPr>
      </w:pPr>
      <w:r>
        <w:rPr>
          <w:rFonts w:ascii="宋体" w:hAnsi="Times New Roman"/>
          <w:i/>
          <w:kern w:val="0"/>
          <w:szCs w:val="20"/>
        </w:rPr>
        <w:t>3——</w:t>
      </w:r>
      <w:r>
        <w:rPr>
          <w:rFonts w:hint="eastAsia" w:ascii="宋体" w:hAnsi="Times New Roman"/>
          <w:kern w:val="0"/>
          <w:szCs w:val="20"/>
        </w:rPr>
        <w:t>气袋接口</w:t>
      </w:r>
      <w:r>
        <w:rPr>
          <w:rFonts w:ascii="宋体" w:hAnsi="Times New Roman"/>
          <w:i/>
          <w:kern w:val="0"/>
          <w:szCs w:val="20"/>
        </w:rPr>
        <w:t>：</w:t>
      </w:r>
    </w:p>
    <w:p w14:paraId="4191D178">
      <w:pPr>
        <w:widowControl/>
        <w:tabs>
          <w:tab w:val="center" w:pos="4201"/>
          <w:tab w:val="right" w:leader="dot" w:pos="9298"/>
        </w:tabs>
        <w:autoSpaceDE w:val="0"/>
        <w:autoSpaceDN w:val="0"/>
        <w:rPr>
          <w:rFonts w:ascii="宋体" w:hAnsi="Times New Roman"/>
          <w:kern w:val="0"/>
          <w:szCs w:val="20"/>
        </w:rPr>
      </w:pPr>
      <w:r>
        <w:rPr>
          <w:rFonts w:ascii="宋体" w:hAnsi="Times New Roman"/>
          <w:i/>
          <w:kern w:val="0"/>
          <w:szCs w:val="20"/>
        </w:rPr>
        <w:t>4——</w:t>
      </w:r>
      <w:r>
        <w:rPr>
          <w:rFonts w:hint="eastAsia" w:ascii="宋体" w:hAnsi="Times New Roman"/>
          <w:kern w:val="0"/>
          <w:szCs w:val="20"/>
        </w:rPr>
        <w:t>气袋</w:t>
      </w:r>
      <w:r>
        <w:rPr>
          <w:rFonts w:hint="eastAsia" w:ascii="宋体" w:hAnsi="Times New Roman"/>
          <w:i/>
          <w:kern w:val="0"/>
          <w:szCs w:val="20"/>
        </w:rPr>
        <w:t>；</w:t>
      </w:r>
    </w:p>
    <w:p w14:paraId="04C3C58D">
      <w:pPr>
        <w:widowControl/>
        <w:tabs>
          <w:tab w:val="center" w:pos="4201"/>
          <w:tab w:val="right" w:leader="dot" w:pos="9298"/>
        </w:tabs>
        <w:autoSpaceDE w:val="0"/>
        <w:autoSpaceDN w:val="0"/>
        <w:rPr>
          <w:rFonts w:ascii="宋体" w:hAnsi="Times New Roman"/>
          <w:kern w:val="0"/>
          <w:szCs w:val="20"/>
        </w:rPr>
      </w:pPr>
      <w:r>
        <w:rPr>
          <w:rFonts w:hint="eastAsia" w:ascii="宋体" w:hAnsi="Times New Roman"/>
          <w:kern w:val="0"/>
          <w:szCs w:val="20"/>
        </w:rPr>
        <w:t>5</w:t>
      </w:r>
      <w:r>
        <w:rPr>
          <w:rFonts w:ascii="宋体" w:hAnsi="Times New Roman"/>
          <w:i/>
          <w:kern w:val="0"/>
          <w:szCs w:val="20"/>
        </w:rPr>
        <w:t>——</w:t>
      </w:r>
      <w:r>
        <w:rPr>
          <w:rFonts w:ascii="宋体" w:hAnsi="Times New Roman"/>
          <w:kern w:val="0"/>
          <w:szCs w:val="20"/>
        </w:rPr>
        <w:t>进气口</w:t>
      </w:r>
      <w:r>
        <w:rPr>
          <w:rFonts w:hint="eastAsia" w:ascii="宋体" w:hAnsi="Times New Roman"/>
          <w:i/>
          <w:kern w:val="0"/>
          <w:szCs w:val="20"/>
        </w:rPr>
        <w:t>。</w:t>
      </w:r>
    </w:p>
    <w:p w14:paraId="696DEEF7">
      <w:pPr>
        <w:spacing w:line="360" w:lineRule="auto"/>
        <w:jc w:val="center"/>
        <w:rPr>
          <w:rFonts w:ascii="Times New Roman" w:hAnsi="Times New Roman"/>
          <w:sz w:val="24"/>
          <w:szCs w:val="24"/>
        </w:rPr>
      </w:pPr>
      <w:r>
        <w:rPr>
          <w:rFonts w:hint="eastAsia" w:ascii="Times New Roman" w:hAnsi="Times New Roman"/>
          <w:sz w:val="24"/>
          <w:szCs w:val="24"/>
        </w:rPr>
        <w:t>图</w:t>
      </w:r>
      <w:r>
        <w:rPr>
          <w:rFonts w:ascii="Times New Roman" w:hAnsi="Times New Roman"/>
          <w:sz w:val="24"/>
          <w:szCs w:val="24"/>
        </w:rPr>
        <w:t>3</w:t>
      </w:r>
      <w:r>
        <w:rPr>
          <w:rFonts w:hint="eastAsia" w:ascii="Times New Roman" w:hAnsi="Times New Roman"/>
          <w:sz w:val="24"/>
          <w:szCs w:val="24"/>
        </w:rPr>
        <w:t>原始气体嗅辨仪</w:t>
      </w:r>
    </w:p>
    <w:p w14:paraId="71F69DC8">
      <w:pPr>
        <w:numPr>
          <w:ilvl w:val="0"/>
          <w:numId w:val="0"/>
        </w:numPr>
        <w:spacing w:line="360" w:lineRule="auto"/>
        <w:rPr>
          <w:rFonts w:hint="default" w:ascii="Times New Roman" w:hAnsiTheme="minorEastAsia"/>
          <w:kern w:val="0"/>
          <w:sz w:val="24"/>
          <w:szCs w:val="24"/>
          <w:lang w:val="en-US" w:eastAsia="zh-CN"/>
        </w:rPr>
      </w:pPr>
      <w:r>
        <w:rPr>
          <w:rFonts w:hint="eastAsia" w:ascii="Times New Roman" w:hAnsiTheme="minorEastAsia"/>
          <w:kern w:val="0"/>
          <w:sz w:val="24"/>
          <w:szCs w:val="24"/>
          <w:lang w:val="en-US" w:eastAsia="zh-CN"/>
        </w:rPr>
        <w:t>（2）气味评价实验室及评价小组</w:t>
      </w:r>
    </w:p>
    <w:p w14:paraId="1E9B0CCB">
      <w:pPr>
        <w:widowControl/>
        <w:kinsoku w:val="0"/>
        <w:overflowPunct w:val="0"/>
        <w:spacing w:line="360" w:lineRule="auto"/>
        <w:ind w:firstLine="480" w:firstLineChars="200"/>
        <w:jc w:val="both"/>
        <w:textAlignment w:val="baseline"/>
        <w:rPr>
          <w:rFonts w:ascii="Times New Roman" w:hAnsi="Times New Roman" w:cs="Times New Roman" w:eastAsiaTheme="minorEastAsia"/>
          <w:bCs/>
          <w:kern w:val="24"/>
          <w:sz w:val="24"/>
          <w:szCs w:val="32"/>
          <w:lang w:eastAsia="zh-CN"/>
        </w:rPr>
      </w:pPr>
      <w:r>
        <w:rPr>
          <w:rFonts w:ascii="Times New Roman" w:hAnsi="Times New Roman" w:cs="Times New Roman" w:eastAsiaTheme="minorEastAsia"/>
          <w:bCs/>
          <w:kern w:val="24"/>
          <w:sz w:val="24"/>
          <w:szCs w:val="32"/>
          <w:lang w:eastAsia="zh-CN"/>
        </w:rPr>
        <w:t>为了确保实验结果的一致性和可靠性，必须对气味评价实验室和休息室的环境条件进行规定和限制。因为气味评价人员的嗅觉敏感度会受温湿度变化影响，导致结果的偏离，所以实验室温湿度需要控制在一定范围内，以保证不同建材产品气味测试结果的可比性。根据相关文献研究，气味评价实验室的温度控制在（23±3）°C，相对湿度控制（50±10）%RH是合适的。</w:t>
      </w:r>
    </w:p>
    <w:p w14:paraId="1C245877">
      <w:pPr>
        <w:spacing w:line="360" w:lineRule="auto"/>
        <w:ind w:left="0" w:leftChars="0" w:firstLine="420" w:firstLineChars="175"/>
        <w:rPr>
          <w:rFonts w:hint="default" w:ascii="Times New Roman" w:hAnsiTheme="minorEastAsia"/>
          <w:kern w:val="0"/>
          <w:sz w:val="24"/>
          <w:szCs w:val="24"/>
          <w:lang w:val="en-US" w:eastAsia="zh-CN"/>
        </w:rPr>
      </w:pPr>
      <w:r>
        <w:rPr>
          <w:rFonts w:hint="eastAsia" w:ascii="Times New Roman" w:hAnsiTheme="minorEastAsia"/>
          <w:kern w:val="0"/>
          <w:sz w:val="24"/>
          <w:szCs w:val="24"/>
          <w:lang w:val="en-US" w:eastAsia="zh-CN"/>
        </w:rPr>
        <w:t>气味评价实验室及人员要求主要参考了GB/T 43353-2023，保证了本文件在环境和人员上的科学性和可操作性。</w:t>
      </w:r>
    </w:p>
    <w:p w14:paraId="637A1E49">
      <w:pPr>
        <w:numPr>
          <w:ilvl w:val="0"/>
          <w:numId w:val="0"/>
        </w:numPr>
        <w:spacing w:line="360" w:lineRule="auto"/>
        <w:rPr>
          <w:rFonts w:hint="eastAsia" w:ascii="Times New Roman" w:hAnsiTheme="minorEastAsia"/>
          <w:kern w:val="0"/>
          <w:sz w:val="24"/>
          <w:szCs w:val="24"/>
          <w:lang w:val="en-US" w:eastAsia="zh-CN"/>
        </w:rPr>
      </w:pPr>
      <w:r>
        <w:rPr>
          <w:rFonts w:hint="eastAsia" w:ascii="Times New Roman" w:eastAsia="宋体" w:cs="Times New Roman" w:hAnsiTheme="minorEastAsia"/>
          <w:kern w:val="0"/>
          <w:sz w:val="24"/>
          <w:szCs w:val="24"/>
          <w:lang w:val="en-US" w:eastAsia="zh-CN" w:bidi="ar-SA"/>
        </w:rPr>
        <w:t>（</w:t>
      </w:r>
      <w:r>
        <w:rPr>
          <w:rFonts w:hint="eastAsia" w:ascii="Times New Roman" w:cs="Times New Roman" w:hAnsiTheme="minorEastAsia"/>
          <w:kern w:val="0"/>
          <w:sz w:val="24"/>
          <w:szCs w:val="24"/>
          <w:lang w:val="en-US" w:eastAsia="zh-CN" w:bidi="ar-SA"/>
        </w:rPr>
        <w:t>3</w:t>
      </w:r>
      <w:r>
        <w:rPr>
          <w:rFonts w:hint="eastAsia" w:ascii="Times New Roman" w:eastAsia="宋体" w:cs="Times New Roman" w:hAnsiTheme="minorEastAsia"/>
          <w:kern w:val="0"/>
          <w:sz w:val="24"/>
          <w:szCs w:val="24"/>
          <w:lang w:val="en-US" w:eastAsia="zh-CN" w:bidi="ar-SA"/>
        </w:rPr>
        <w:t>）</w:t>
      </w:r>
      <w:r>
        <w:rPr>
          <w:rFonts w:hint="eastAsia" w:ascii="Times New Roman" w:hAnsiTheme="minorEastAsia"/>
          <w:kern w:val="0"/>
          <w:sz w:val="24"/>
          <w:szCs w:val="24"/>
          <w:lang w:val="en-US" w:eastAsia="zh-CN"/>
        </w:rPr>
        <w:t>前处理方法</w:t>
      </w:r>
    </w:p>
    <w:p w14:paraId="24B0B9C0">
      <w:pPr>
        <w:numPr>
          <w:ilvl w:val="0"/>
          <w:numId w:val="0"/>
        </w:numPr>
        <w:spacing w:line="360" w:lineRule="auto"/>
        <w:ind w:firstLine="480" w:firstLineChars="200"/>
        <w:rPr>
          <w:rFonts w:hint="eastAsia" w:ascii="Times New Roman" w:hAnsiTheme="minorEastAsia"/>
          <w:kern w:val="0"/>
          <w:sz w:val="24"/>
          <w:szCs w:val="24"/>
          <w:lang w:val="en-US" w:eastAsia="zh-CN"/>
        </w:rPr>
      </w:pPr>
      <w:r>
        <w:rPr>
          <w:rFonts w:hint="eastAsia" w:ascii="Times New Roman" w:hAnsiTheme="minorEastAsia"/>
          <w:kern w:val="0"/>
          <w:sz w:val="24"/>
          <w:szCs w:val="24"/>
          <w:lang w:val="en-US" w:eastAsia="zh-CN"/>
        </w:rPr>
        <w:t>试验之前，应对样品进行适当的前处理。针对不同形态、不同类型的产品，根据产品实际使用情况规定了不同的制备方法，详见标准文本附录A。</w:t>
      </w:r>
    </w:p>
    <w:p w14:paraId="2F80F5EE">
      <w:pPr>
        <w:numPr>
          <w:ilvl w:val="0"/>
          <w:numId w:val="0"/>
        </w:numPr>
        <w:spacing w:line="360" w:lineRule="auto"/>
        <w:ind w:firstLine="480" w:firstLineChars="200"/>
        <w:rPr>
          <w:rFonts w:hint="eastAsia" w:ascii="Times New Roman" w:hAnsiTheme="minorEastAsia"/>
          <w:kern w:val="0"/>
          <w:sz w:val="24"/>
          <w:szCs w:val="24"/>
          <w:lang w:val="en-US" w:eastAsia="zh-CN"/>
        </w:rPr>
      </w:pPr>
      <w:r>
        <w:rPr>
          <w:rFonts w:hint="eastAsia" w:ascii="Times New Roman" w:hAnsiTheme="minorEastAsia"/>
          <w:kern w:val="0"/>
          <w:sz w:val="24"/>
          <w:szCs w:val="24"/>
          <w:lang w:val="en-US" w:eastAsia="zh-CN"/>
        </w:rPr>
        <w:t>本文件规定的试样制备方法主要参考了GB/T 43353-2023和ISO 16000-11:2024中的要求并进行了部分修改。本文件规定了统一的试样暴露面积，如基材/试样皿均为500 mm×500 mm，板状、片状、卷材等类型试样制样面积均为0.25 m²。主要为了将不同形态材料（涂覆类、喷剂类、粉/颗粒、板/片/卷材）在评价时，转化为可比的“单位面积作用能力”。这与国际室内空气/吸附材料测试中“按面积归一”的通行做法一致（见ISO 16000-23/-24）。</w:t>
      </w:r>
    </w:p>
    <w:p w14:paraId="6DC71BB9">
      <w:pPr>
        <w:numPr>
          <w:ilvl w:val="0"/>
          <w:numId w:val="0"/>
        </w:numPr>
        <w:spacing w:line="360" w:lineRule="auto"/>
        <w:ind w:firstLine="480" w:firstLineChars="200"/>
        <w:rPr>
          <w:rFonts w:hint="eastAsia" w:ascii="Times New Roman" w:hAnsiTheme="minorEastAsia"/>
          <w:kern w:val="0"/>
          <w:sz w:val="24"/>
          <w:szCs w:val="24"/>
          <w:lang w:val="en-US" w:eastAsia="zh-CN"/>
        </w:rPr>
      </w:pPr>
      <w:r>
        <w:rPr>
          <w:rFonts w:hint="eastAsia" w:ascii="Times New Roman" w:hAnsiTheme="minorEastAsia"/>
          <w:kern w:val="0"/>
          <w:sz w:val="24"/>
          <w:szCs w:val="24"/>
          <w:lang w:val="en-US" w:eastAsia="zh-CN"/>
        </w:rPr>
        <w:t>另外本文件规定了涂覆类、喷剂类、粉/颗粒的涂敷量、样品量应当按照生产商提供的信息进行制备，是为了保证评价结果与实际使用情况的一致性，但是针对未提供相关信息的产品，同样提供了合理的推荐量进行制备。</w:t>
      </w:r>
    </w:p>
    <w:p w14:paraId="2F24E90D">
      <w:pPr>
        <w:numPr>
          <w:ilvl w:val="0"/>
          <w:numId w:val="0"/>
        </w:numPr>
        <w:spacing w:line="360" w:lineRule="auto"/>
        <w:ind w:firstLine="480" w:firstLineChars="200"/>
        <w:rPr>
          <w:rFonts w:hint="eastAsia" w:ascii="Times New Roman" w:hAnsiTheme="minorEastAsia"/>
          <w:kern w:val="0"/>
          <w:sz w:val="24"/>
          <w:szCs w:val="24"/>
          <w:lang w:val="en-US" w:eastAsia="zh-CN"/>
        </w:rPr>
      </w:pPr>
      <w:r>
        <w:rPr>
          <w:rFonts w:hint="eastAsia" w:ascii="Times New Roman" w:hAnsiTheme="minorEastAsia"/>
          <w:kern w:val="0"/>
          <w:sz w:val="24"/>
          <w:szCs w:val="24"/>
          <w:lang w:val="en-US" w:eastAsia="zh-CN"/>
        </w:rPr>
        <w:t>对板/片/卷材采取边缘铝箔胶带封边、单饰面“背靠背”或按双面计入面积的规则，主要是为了避免边缘与背面非目标面释放/吸附造成的系统偏差，与ISO 16000-11中对试样暴露面控制思路一致。</w:t>
      </w:r>
    </w:p>
    <w:p w14:paraId="7B304268">
      <w:pPr>
        <w:numPr>
          <w:ilvl w:val="0"/>
          <w:numId w:val="0"/>
        </w:numPr>
        <w:spacing w:line="360" w:lineRule="auto"/>
        <w:ind w:firstLine="480" w:firstLineChars="200"/>
        <w:rPr>
          <w:rFonts w:hint="default" w:ascii="Times New Roman" w:hAnsiTheme="minorEastAsia"/>
          <w:kern w:val="0"/>
          <w:sz w:val="24"/>
          <w:szCs w:val="24"/>
          <w:lang w:val="en-US" w:eastAsia="zh-CN"/>
        </w:rPr>
      </w:pPr>
      <w:r>
        <w:rPr>
          <w:rFonts w:hint="eastAsia" w:ascii="Times New Roman" w:hAnsiTheme="minorEastAsia"/>
          <w:kern w:val="0"/>
          <w:sz w:val="24"/>
          <w:szCs w:val="24"/>
          <w:lang w:val="en-US" w:eastAsia="zh-CN"/>
        </w:rPr>
        <w:t>针对于试样的养护时间，对于涂覆类产品、板状及片状产品、卷状产品应当养护7d，使绝大部分产品都能达到稳定的状态。对于喷剂类，大部分产品在24h内即可达到实际工作状态。对于粉状及颗粒状产品则无需进行养护，主要是考虑到养护时间可能会影响其吸附容量。</w:t>
      </w:r>
    </w:p>
    <w:p w14:paraId="38381B40">
      <w:pPr>
        <w:numPr>
          <w:ilvl w:val="0"/>
          <w:numId w:val="0"/>
        </w:numPr>
        <w:spacing w:line="360" w:lineRule="auto"/>
        <w:rPr>
          <w:rFonts w:hint="eastAsia" w:ascii="Times New Roman" w:eastAsia="宋体" w:cs="Times New Roman" w:hAnsiTheme="minorEastAsia"/>
          <w:kern w:val="0"/>
          <w:sz w:val="24"/>
          <w:szCs w:val="24"/>
          <w:lang w:val="en-US" w:eastAsia="zh-CN" w:bidi="ar-SA"/>
        </w:rPr>
      </w:pPr>
      <w:r>
        <w:rPr>
          <w:rFonts w:hint="eastAsia" w:ascii="Times New Roman" w:eastAsia="宋体" w:cs="Times New Roman" w:hAnsiTheme="minorEastAsia"/>
          <w:kern w:val="0"/>
          <w:sz w:val="24"/>
          <w:szCs w:val="24"/>
          <w:lang w:val="en-US" w:eastAsia="zh-CN" w:bidi="ar-SA"/>
        </w:rPr>
        <w:t>（4）模拟气味溶液制备</w:t>
      </w:r>
    </w:p>
    <w:p w14:paraId="0C95F2F2">
      <w:pPr>
        <w:numPr>
          <w:ilvl w:val="0"/>
          <w:numId w:val="0"/>
        </w:numPr>
        <w:spacing w:line="360" w:lineRule="auto"/>
        <w:ind w:firstLine="480" w:firstLineChars="200"/>
        <w:rPr>
          <w:rFonts w:hint="eastAsia" w:ascii="Times New Roman" w:hAnsiTheme="minorEastAsia"/>
          <w:kern w:val="0"/>
          <w:sz w:val="24"/>
          <w:szCs w:val="24"/>
          <w:lang w:val="en-US" w:eastAsia="zh-CN"/>
        </w:rPr>
      </w:pPr>
      <w:r>
        <w:rPr>
          <w:rFonts w:hint="eastAsia" w:ascii="Times New Roman" w:hAnsiTheme="minorEastAsia"/>
          <w:kern w:val="0"/>
          <w:sz w:val="24"/>
          <w:szCs w:val="24"/>
          <w:lang w:val="en-US" w:eastAsia="zh-CN"/>
        </w:rPr>
        <w:t>针对于室内环境典型建材异味污染问题，本文件构建了包括醇、醛、酸、酯在内的混合模拟气味溶液，分别代表室内常见的典型建材致味物质：正丁醇（内墙涂料）、正壬醛（人造板等木制品）、乙酸（胶粘剂）、乙酸正丁酯（木器涂料），更符合实际装修导致的异味污染特点，同时也可以综合评判净化材料的净味能力。</w:t>
      </w:r>
    </w:p>
    <w:p w14:paraId="3FE213AA">
      <w:pPr>
        <w:numPr>
          <w:ilvl w:val="0"/>
          <w:numId w:val="0"/>
        </w:numPr>
        <w:spacing w:line="360" w:lineRule="auto"/>
        <w:ind w:firstLine="480" w:firstLineChars="200"/>
        <w:rPr>
          <w:rFonts w:hint="eastAsia" w:ascii="Times New Roman" w:hAnsiTheme="minorEastAsia"/>
          <w:kern w:val="0"/>
          <w:sz w:val="24"/>
          <w:szCs w:val="24"/>
          <w:lang w:val="en-US" w:eastAsia="zh-CN"/>
        </w:rPr>
      </w:pPr>
      <w:r>
        <w:rPr>
          <w:rFonts w:hint="eastAsia" w:ascii="Times New Roman" w:hAnsiTheme="minorEastAsia"/>
          <w:kern w:val="0"/>
          <w:sz w:val="24"/>
          <w:szCs w:val="24"/>
          <w:lang w:val="en-US" w:eastAsia="zh-CN"/>
        </w:rPr>
        <w:t>对于混合溶液的质量分数的确定，主要是通过考虑气味阈值与暴露安全值，目前该模拟气味混合溶液按照3.0uL的投加量可以保证，试验舱内气味物质的浓度处于5～10倍阈值范围内，即可明显感知，同时满足低于TLV-TWA/OEL等安全上限的要求。当研究特定场景（如卫生间、健身房、养老院等）时，可在报告中声明并按附录B增加典型气味物（如氨、2-壬烯醛、异戊酸等）的净味能力评价。</w:t>
      </w:r>
    </w:p>
    <w:p w14:paraId="3FC6C2A4">
      <w:pPr>
        <w:numPr>
          <w:ilvl w:val="0"/>
          <w:numId w:val="3"/>
        </w:numPr>
        <w:spacing w:line="360" w:lineRule="auto"/>
        <w:rPr>
          <w:rFonts w:hint="eastAsia" w:ascii="Times New Roman" w:hAnsiTheme="minorEastAsia"/>
          <w:kern w:val="0"/>
          <w:sz w:val="24"/>
          <w:szCs w:val="24"/>
          <w:lang w:val="en-US" w:eastAsia="zh-CN"/>
        </w:rPr>
      </w:pPr>
      <w:r>
        <w:rPr>
          <w:rFonts w:hint="eastAsia" w:ascii="Times New Roman" w:hAnsiTheme="minorEastAsia"/>
          <w:kern w:val="0"/>
          <w:sz w:val="24"/>
          <w:szCs w:val="24"/>
          <w:lang w:val="en-US" w:eastAsia="zh-CN"/>
        </w:rPr>
        <w:t>试验设备要求</w:t>
      </w:r>
    </w:p>
    <w:p w14:paraId="1BD1DEB7">
      <w:pPr>
        <w:numPr>
          <w:ilvl w:val="0"/>
          <w:numId w:val="0"/>
        </w:numPr>
        <w:spacing w:line="360" w:lineRule="auto"/>
        <w:ind w:firstLine="480" w:firstLineChars="200"/>
        <w:rPr>
          <w:rFonts w:hint="eastAsia" w:ascii="Times New Roman" w:hAnsiTheme="minorEastAsia"/>
          <w:kern w:val="0"/>
          <w:sz w:val="24"/>
          <w:szCs w:val="24"/>
          <w:lang w:val="en-US" w:eastAsia="zh-CN"/>
        </w:rPr>
      </w:pPr>
      <w:r>
        <w:rPr>
          <w:rFonts w:hint="eastAsia" w:ascii="Times New Roman" w:hAnsiTheme="minorEastAsia"/>
          <w:kern w:val="0"/>
          <w:sz w:val="24"/>
          <w:szCs w:val="24"/>
          <w:lang w:val="en-US" w:eastAsia="zh-CN"/>
        </w:rPr>
        <w:t>本文件对于试验舱、负压采气箱及原始气体嗅辨仪等设备的性能均进行了规定：</w:t>
      </w:r>
    </w:p>
    <w:p w14:paraId="1FE74AD9">
      <w:pPr>
        <w:numPr>
          <w:ilvl w:val="0"/>
          <w:numId w:val="0"/>
        </w:numPr>
        <w:spacing w:line="360" w:lineRule="auto"/>
        <w:ind w:firstLine="480" w:firstLineChars="200"/>
        <w:rPr>
          <w:rFonts w:hint="eastAsia" w:ascii="Times New Roman" w:hAnsiTheme="minorEastAsia"/>
          <w:kern w:val="0"/>
          <w:sz w:val="24"/>
          <w:szCs w:val="24"/>
          <w:lang w:val="en-US" w:eastAsia="zh-CN"/>
        </w:rPr>
      </w:pPr>
      <w:r>
        <w:rPr>
          <w:rFonts w:hint="eastAsia" w:ascii="Times New Roman" w:hAnsiTheme="minorEastAsia"/>
          <w:kern w:val="0"/>
          <w:sz w:val="24"/>
          <w:szCs w:val="24"/>
          <w:lang w:val="en-US" w:eastAsia="zh-CN"/>
        </w:rPr>
        <w:t>试验所用试验舱（样品舱、参比舱）均需要满足JC/T 1074中对于试验舱的要求，试验</w:t>
      </w:r>
      <w:bookmarkStart w:id="59" w:name="_GoBack"/>
      <w:bookmarkEnd w:id="59"/>
      <w:r>
        <w:rPr>
          <w:rFonts w:hint="eastAsia" w:ascii="Times New Roman" w:hAnsiTheme="minorEastAsia"/>
          <w:kern w:val="0"/>
          <w:sz w:val="24"/>
          <w:szCs w:val="24"/>
          <w:lang w:val="en-US" w:eastAsia="zh-CN"/>
        </w:rPr>
        <w:t>舱内应无气味且总挥发性有机化合物（TVOC）浓度应小于等于0.020 mg/m</w:t>
      </w:r>
      <w:r>
        <w:rPr>
          <w:rFonts w:hint="eastAsia" w:ascii="Times New Roman" w:hAnsiTheme="minorEastAsia"/>
          <w:kern w:val="0"/>
          <w:sz w:val="24"/>
          <w:szCs w:val="24"/>
          <w:vertAlign w:val="superscript"/>
          <w:lang w:val="en-US" w:eastAsia="zh-CN"/>
        </w:rPr>
        <w:t>3</w:t>
      </w:r>
      <w:r>
        <w:rPr>
          <w:rFonts w:hint="eastAsia" w:ascii="Times New Roman" w:hAnsiTheme="minorEastAsia"/>
          <w:kern w:val="0"/>
          <w:sz w:val="24"/>
          <w:szCs w:val="24"/>
          <w:lang w:val="en-US" w:eastAsia="zh-CN"/>
        </w:rPr>
        <w:t>，单一VOC的背景浓度（以甲苯计）应小于等于0.002 mg/m</w:t>
      </w:r>
      <w:r>
        <w:rPr>
          <w:rFonts w:hint="eastAsia" w:ascii="Times New Roman" w:hAnsiTheme="minorEastAsia"/>
          <w:kern w:val="0"/>
          <w:sz w:val="24"/>
          <w:szCs w:val="24"/>
          <w:vertAlign w:val="superscript"/>
          <w:lang w:val="en-US" w:eastAsia="zh-CN"/>
        </w:rPr>
        <w:t>3</w:t>
      </w:r>
      <w:r>
        <w:rPr>
          <w:rFonts w:hint="eastAsia" w:ascii="Times New Roman" w:hAnsiTheme="minorEastAsia"/>
          <w:kern w:val="0"/>
          <w:sz w:val="24"/>
          <w:szCs w:val="24"/>
          <w:lang w:val="en-US" w:eastAsia="zh-CN"/>
        </w:rPr>
        <w:t>，测试方法按照GB/T 18883规定执行。</w:t>
      </w:r>
    </w:p>
    <w:p w14:paraId="1D000DB9">
      <w:pPr>
        <w:numPr>
          <w:ilvl w:val="0"/>
          <w:numId w:val="0"/>
        </w:numPr>
        <w:spacing w:line="360" w:lineRule="auto"/>
        <w:ind w:firstLine="480" w:firstLineChars="200"/>
        <w:rPr>
          <w:rFonts w:hint="eastAsia" w:ascii="宋体" w:hAnsi="宋体" w:cs="宋体"/>
          <w:sz w:val="24"/>
          <w:szCs w:val="24"/>
          <w:lang w:val="en-US" w:eastAsia="zh-CN"/>
        </w:rPr>
      </w:pPr>
      <w:r>
        <w:rPr>
          <w:rFonts w:hint="eastAsia" w:ascii="Times New Roman" w:hAnsiTheme="minorEastAsia"/>
          <w:kern w:val="0"/>
          <w:sz w:val="24"/>
          <w:szCs w:val="24"/>
          <w:lang w:val="en-US" w:eastAsia="zh-CN"/>
        </w:rPr>
        <w:t>同时负压采气箱及原始气体嗅辨仪分别需要满足</w:t>
      </w:r>
      <w:r>
        <w:rPr>
          <w:rFonts w:ascii="宋体" w:hAnsi="宋体" w:eastAsia="宋体" w:cs="宋体"/>
          <w:sz w:val="24"/>
          <w:szCs w:val="24"/>
        </w:rPr>
        <w:t>JJF（建材）240-2025</w:t>
      </w:r>
      <w:r>
        <w:rPr>
          <w:rFonts w:hint="eastAsia" w:ascii="宋体" w:hAnsi="宋体" w:cs="宋体"/>
          <w:sz w:val="24"/>
          <w:szCs w:val="24"/>
          <w:lang w:val="en-US" w:eastAsia="zh-CN"/>
        </w:rPr>
        <w:t>和</w:t>
      </w:r>
      <w:r>
        <w:rPr>
          <w:rFonts w:ascii="宋体" w:hAnsi="宋体" w:eastAsia="宋体" w:cs="宋体"/>
          <w:sz w:val="24"/>
          <w:szCs w:val="24"/>
        </w:rPr>
        <w:t>JJF（建材）241-2025</w:t>
      </w:r>
      <w:r>
        <w:rPr>
          <w:rFonts w:hint="eastAsia" w:ascii="宋体" w:hAnsi="宋体" w:cs="宋体"/>
          <w:sz w:val="24"/>
          <w:szCs w:val="24"/>
          <w:lang w:val="en-US" w:eastAsia="zh-CN"/>
        </w:rPr>
        <w:t>的要求。</w:t>
      </w:r>
    </w:p>
    <w:p w14:paraId="3A960B3C">
      <w:pPr>
        <w:numPr>
          <w:ilvl w:val="0"/>
          <w:numId w:val="3"/>
        </w:numPr>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气味发生</w:t>
      </w:r>
    </w:p>
    <w:p w14:paraId="388D906A">
      <w:pPr>
        <w:numPr>
          <w:ilvl w:val="0"/>
          <w:numId w:val="0"/>
        </w:numPr>
        <w:spacing w:line="360" w:lineRule="auto"/>
        <w:ind w:left="0" w:leftChars="0" w:firstLine="420" w:firstLineChars="175"/>
        <w:rPr>
          <w:rFonts w:hint="default" w:ascii="宋体" w:hAnsi="宋体" w:cs="宋体"/>
          <w:sz w:val="24"/>
          <w:szCs w:val="24"/>
          <w:lang w:val="en-US" w:eastAsia="zh-CN"/>
        </w:rPr>
      </w:pPr>
      <w:r>
        <w:rPr>
          <w:rFonts w:hint="eastAsia" w:ascii="宋体" w:hAnsi="宋体" w:cs="宋体"/>
          <w:sz w:val="24"/>
          <w:szCs w:val="24"/>
          <w:lang w:val="en-US" w:eastAsia="zh-CN"/>
        </w:rPr>
        <w:t>本文件针对模拟气味发生时的参数设置，即风扇转速、气体发生器开启和关闭时间的要求主要参考了</w:t>
      </w:r>
      <w:r>
        <w:rPr>
          <w:rFonts w:hint="eastAsia" w:ascii="Times New Roman" w:hAnsiTheme="minorEastAsia"/>
          <w:kern w:val="0"/>
          <w:sz w:val="24"/>
          <w:szCs w:val="24"/>
          <w:lang w:val="en-US" w:eastAsia="zh-CN"/>
        </w:rPr>
        <w:t>JC/T 1074中的规定。</w:t>
      </w:r>
    </w:p>
    <w:p w14:paraId="679A26A5">
      <w:pPr>
        <w:tabs>
          <w:tab w:val="left" w:pos="2692"/>
        </w:tabs>
        <w:spacing w:before="326" w:beforeLines="100" w:after="326" w:afterLines="100" w:line="360" w:lineRule="auto"/>
        <w:outlineLvl w:val="0"/>
        <w:rPr>
          <w:rFonts w:ascii="Times New Roman" w:hAnsi="Times New Roman"/>
          <w:b/>
          <w:sz w:val="24"/>
          <w:szCs w:val="24"/>
        </w:rPr>
      </w:pPr>
      <w:bookmarkStart w:id="28" w:name="_Toc37604933"/>
      <w:r>
        <w:rPr>
          <w:rFonts w:ascii="Times New Roman" w:hAnsi="Times New Roman"/>
          <w:b/>
          <w:sz w:val="24"/>
          <w:szCs w:val="24"/>
        </w:rPr>
        <w:t>3. 主要实验和验证情况分析</w:t>
      </w:r>
      <w:bookmarkEnd w:id="28"/>
    </w:p>
    <w:p w14:paraId="5D94C090">
      <w:pPr>
        <w:spacing w:line="360" w:lineRule="auto"/>
        <w:ind w:firstLine="360" w:firstLineChars="150"/>
        <w:rPr>
          <w:rFonts w:ascii="Times New Roman" w:hAnsi="宋体"/>
          <w:sz w:val="24"/>
          <w:szCs w:val="24"/>
        </w:rPr>
      </w:pPr>
      <w:r>
        <w:rPr>
          <w:rFonts w:ascii="Times New Roman" w:hAnsi="宋体"/>
          <w:sz w:val="24"/>
          <w:szCs w:val="24"/>
        </w:rPr>
        <w:t>验证试验情况见验证试验报告，见附录</w:t>
      </w:r>
      <w:r>
        <w:rPr>
          <w:rFonts w:hint="eastAsia" w:ascii="Times New Roman" w:hAnsi="宋体"/>
          <w:sz w:val="24"/>
          <w:szCs w:val="24"/>
        </w:rPr>
        <w:t>A</w:t>
      </w:r>
      <w:r>
        <w:rPr>
          <w:rFonts w:ascii="Times New Roman" w:hAnsi="宋体"/>
          <w:sz w:val="24"/>
          <w:szCs w:val="24"/>
        </w:rPr>
        <w:t>。</w:t>
      </w:r>
    </w:p>
    <w:p w14:paraId="1C92AE52">
      <w:pPr>
        <w:spacing w:line="360" w:lineRule="auto"/>
        <w:ind w:firstLine="360" w:firstLineChars="150"/>
        <w:rPr>
          <w:rFonts w:ascii="Times New Roman" w:hAnsi="宋体"/>
          <w:sz w:val="24"/>
          <w:szCs w:val="24"/>
        </w:rPr>
      </w:pPr>
      <w:r>
        <w:rPr>
          <w:rFonts w:hint="eastAsia" w:ascii="Times New Roman" w:hAnsi="宋体"/>
          <w:sz w:val="24"/>
          <w:szCs w:val="24"/>
        </w:rPr>
        <w:t>根据验证结果可以看到，</w:t>
      </w:r>
      <w:r>
        <w:rPr>
          <w:rFonts w:hint="eastAsia" w:ascii="Times New Roman" w:hAnsi="宋体"/>
          <w:sz w:val="24"/>
          <w:szCs w:val="24"/>
          <w:lang w:eastAsia="zh-CN"/>
        </w:rPr>
        <w:t>本文件</w:t>
      </w:r>
      <w:r>
        <w:rPr>
          <w:rFonts w:hint="eastAsia" w:ascii="Times New Roman" w:hAnsi="宋体"/>
          <w:sz w:val="24"/>
          <w:szCs w:val="24"/>
        </w:rPr>
        <w:t>中采用的气味强度有良好的精密度和准确度，</w:t>
      </w:r>
      <w:r>
        <w:rPr>
          <w:rFonts w:hint="eastAsia" w:ascii="Times New Roman" w:hAnsi="宋体"/>
          <w:sz w:val="24"/>
          <w:szCs w:val="24"/>
          <w:lang w:eastAsia="zh-CN"/>
        </w:rPr>
        <w:t>本文件</w:t>
      </w:r>
      <w:r>
        <w:rPr>
          <w:rFonts w:hint="eastAsia" w:ascii="Times New Roman" w:hAnsi="宋体"/>
          <w:sz w:val="24"/>
          <w:szCs w:val="24"/>
        </w:rPr>
        <w:t>方法具有较好的区分度，能够全面客观地评价各类</w:t>
      </w:r>
      <w:r>
        <w:rPr>
          <w:rFonts w:hint="eastAsia" w:ascii="Times New Roman" w:hAnsi="宋体"/>
          <w:sz w:val="24"/>
          <w:szCs w:val="24"/>
          <w:lang w:val="en-US" w:eastAsia="zh-CN"/>
        </w:rPr>
        <w:t>室内空气净化材料</w:t>
      </w:r>
      <w:r>
        <w:rPr>
          <w:rFonts w:hint="eastAsia" w:ascii="Times New Roman" w:hAnsi="宋体"/>
          <w:sz w:val="24"/>
          <w:szCs w:val="24"/>
        </w:rPr>
        <w:t>的气味</w:t>
      </w:r>
      <w:r>
        <w:rPr>
          <w:rFonts w:hint="eastAsia" w:ascii="Times New Roman" w:hAnsi="宋体"/>
          <w:sz w:val="24"/>
          <w:szCs w:val="24"/>
          <w:lang w:val="en-US" w:eastAsia="zh-CN"/>
        </w:rPr>
        <w:t>净化性能</w:t>
      </w:r>
      <w:r>
        <w:rPr>
          <w:rFonts w:hint="eastAsia" w:ascii="Times New Roman" w:hAnsi="宋体"/>
          <w:sz w:val="24"/>
          <w:szCs w:val="24"/>
        </w:rPr>
        <w:t>。</w:t>
      </w:r>
    </w:p>
    <w:p w14:paraId="2EAC4AC7">
      <w:pPr>
        <w:tabs>
          <w:tab w:val="left" w:pos="2692"/>
        </w:tabs>
        <w:spacing w:before="326" w:beforeLines="100" w:after="326" w:afterLines="100" w:line="360" w:lineRule="auto"/>
        <w:outlineLvl w:val="0"/>
        <w:rPr>
          <w:rFonts w:ascii="Times New Roman" w:hAnsi="Times New Roman"/>
          <w:sz w:val="28"/>
          <w:szCs w:val="24"/>
        </w:rPr>
      </w:pPr>
      <w:bookmarkStart w:id="29" w:name="_Toc37604939"/>
      <w:bookmarkStart w:id="30" w:name="_Toc158"/>
      <w:bookmarkStart w:id="31" w:name="_Toc498585903"/>
      <w:r>
        <w:rPr>
          <w:rFonts w:ascii="Times New Roman" w:hAnsi="Times New Roman"/>
          <w:b/>
          <w:sz w:val="28"/>
          <w:szCs w:val="28"/>
        </w:rPr>
        <w:t>4. 标准涉及专利的情况</w:t>
      </w:r>
      <w:bookmarkEnd w:id="29"/>
      <w:bookmarkEnd w:id="30"/>
      <w:bookmarkEnd w:id="31"/>
      <w:r>
        <w:rPr>
          <w:rFonts w:ascii="Times New Roman" w:hAnsi="Times New Roman"/>
          <w:sz w:val="28"/>
          <w:szCs w:val="24"/>
        </w:rPr>
        <w:tab/>
      </w:r>
    </w:p>
    <w:p w14:paraId="22BD6E70">
      <w:pPr>
        <w:pStyle w:val="29"/>
        <w:spacing w:line="360" w:lineRule="auto"/>
        <w:ind w:firstLine="480"/>
        <w:rPr>
          <w:sz w:val="24"/>
          <w:szCs w:val="24"/>
        </w:rPr>
      </w:pPr>
      <w:bookmarkStart w:id="32" w:name="_Toc498585904"/>
      <w:bookmarkStart w:id="33" w:name="_Toc7894"/>
      <w:r>
        <w:rPr>
          <w:rFonts w:hint="eastAsia"/>
          <w:sz w:val="24"/>
          <w:szCs w:val="24"/>
        </w:rPr>
        <w:t>本标准中未涉及到专利及其它知识产权问题。</w:t>
      </w:r>
    </w:p>
    <w:p w14:paraId="584296BA">
      <w:pPr>
        <w:pStyle w:val="2"/>
        <w:spacing w:before="326" w:beforeLines="100" w:after="163" w:afterLines="50" w:line="360" w:lineRule="auto"/>
        <w:rPr>
          <w:rFonts w:ascii="Times New Roman" w:hAnsi="Times New Roman"/>
          <w:sz w:val="28"/>
          <w:szCs w:val="24"/>
        </w:rPr>
      </w:pPr>
      <w:bookmarkStart w:id="34" w:name="_Toc37604940"/>
      <w:r>
        <w:rPr>
          <w:rFonts w:ascii="Times New Roman" w:hAnsi="Times New Roman"/>
          <w:sz w:val="28"/>
          <w:szCs w:val="24"/>
        </w:rPr>
        <w:t xml:space="preserve">5. </w:t>
      </w:r>
      <w:r>
        <w:rPr>
          <w:rFonts w:ascii="Times New Roman"/>
          <w:sz w:val="28"/>
          <w:szCs w:val="24"/>
        </w:rPr>
        <w:t>推广应用论证和预期达到的经济效果</w:t>
      </w:r>
      <w:bookmarkEnd w:id="32"/>
      <w:bookmarkEnd w:id="33"/>
      <w:bookmarkEnd w:id="34"/>
    </w:p>
    <w:p w14:paraId="0D9D47D2">
      <w:pPr>
        <w:spacing w:line="360" w:lineRule="auto"/>
        <w:ind w:firstLine="540" w:firstLineChars="225"/>
        <w:rPr>
          <w:rFonts w:ascii="Times New Roman" w:hAnsiTheme="minorEastAsia"/>
          <w:kern w:val="0"/>
          <w:sz w:val="24"/>
          <w:szCs w:val="24"/>
        </w:rPr>
      </w:pPr>
      <w:bookmarkStart w:id="35" w:name="_Toc10886"/>
      <w:bookmarkStart w:id="36" w:name="_Toc498585905"/>
      <w:r>
        <w:rPr>
          <w:rFonts w:hint="eastAsia" w:ascii="Times New Roman" w:hAnsiTheme="minorEastAsia"/>
          <w:kern w:val="0"/>
          <w:sz w:val="24"/>
          <w:szCs w:val="24"/>
        </w:rPr>
        <w:t>随着城市化进程的推进以及现代居民环保意识的提升，室内居住环境的气味污染已经成为人们关注的突出问题</w:t>
      </w:r>
      <w:r>
        <w:rPr>
          <w:rFonts w:hint="eastAsia" w:ascii="Times New Roman" w:hAnsiTheme="minorEastAsia"/>
          <w:kern w:val="0"/>
          <w:sz w:val="24"/>
          <w:szCs w:val="24"/>
          <w:lang w:eastAsia="zh-CN"/>
        </w:rPr>
        <w:t>，</w:t>
      </w:r>
      <w:r>
        <w:rPr>
          <w:rFonts w:hint="eastAsia" w:ascii="Times New Roman" w:hAnsiTheme="minorEastAsia"/>
          <w:kern w:val="0"/>
          <w:sz w:val="24"/>
          <w:szCs w:val="24"/>
          <w:lang w:val="en-US" w:eastAsia="zh-CN"/>
        </w:rPr>
        <w:t>室内空气净化材料的需求也日益增加</w:t>
      </w:r>
      <w:r>
        <w:rPr>
          <w:rFonts w:hint="eastAsia" w:ascii="Times New Roman" w:hAnsiTheme="minorEastAsia"/>
          <w:kern w:val="0"/>
          <w:sz w:val="24"/>
          <w:szCs w:val="24"/>
        </w:rPr>
        <w:t>。</w:t>
      </w:r>
      <w:r>
        <w:rPr>
          <w:rFonts w:hint="eastAsia" w:ascii="Times New Roman" w:hAnsiTheme="minorEastAsia"/>
          <w:kern w:val="0"/>
          <w:sz w:val="24"/>
          <w:szCs w:val="24"/>
          <w:lang w:val="en-US" w:eastAsia="zh-CN"/>
        </w:rPr>
        <w:t>目前我国针对于相关材料的气味净化性能评价方法仍然处于空白阶段</w:t>
      </w:r>
      <w:r>
        <w:rPr>
          <w:rFonts w:hint="eastAsia" w:ascii="Times New Roman" w:hAnsiTheme="minorEastAsia"/>
          <w:kern w:val="0"/>
          <w:sz w:val="24"/>
          <w:szCs w:val="24"/>
        </w:rPr>
        <w:t>。本标准的顺利推广应用，</w:t>
      </w:r>
      <w:r>
        <w:rPr>
          <w:rFonts w:hint="eastAsia" w:ascii="Times New Roman" w:hAnsiTheme="minorEastAsia"/>
          <w:kern w:val="0"/>
          <w:sz w:val="24"/>
          <w:szCs w:val="24"/>
          <w:lang w:val="en-US" w:eastAsia="zh-CN"/>
        </w:rPr>
        <w:t>有助于进一步提升我国人居环境舒适度并推动相关行业技术进步</w:t>
      </w:r>
      <w:r>
        <w:rPr>
          <w:rFonts w:hint="eastAsia" w:ascii="Times New Roman" w:hAnsiTheme="minorEastAsia"/>
          <w:kern w:val="0"/>
          <w:sz w:val="24"/>
          <w:szCs w:val="24"/>
        </w:rPr>
        <w:t>。</w:t>
      </w:r>
    </w:p>
    <w:p w14:paraId="65D90C7E">
      <w:pPr>
        <w:spacing w:line="360" w:lineRule="auto"/>
        <w:ind w:firstLine="540" w:firstLineChars="225"/>
        <w:rPr>
          <w:rFonts w:ascii="宋体" w:hAnsi="宋体"/>
          <w:sz w:val="24"/>
          <w:szCs w:val="24"/>
        </w:rPr>
      </w:pPr>
      <w:r>
        <w:rPr>
          <w:rFonts w:hint="eastAsia" w:ascii="Times New Roman" w:hAnsiTheme="minorEastAsia"/>
          <w:kern w:val="0"/>
          <w:sz w:val="24"/>
          <w:szCs w:val="24"/>
        </w:rPr>
        <w:t>（一）</w:t>
      </w:r>
      <w:r>
        <w:rPr>
          <w:rFonts w:hint="eastAsia" w:ascii="Times New Roman" w:hAnsiTheme="minorEastAsia"/>
          <w:kern w:val="0"/>
          <w:sz w:val="24"/>
          <w:szCs w:val="24"/>
          <w:lang w:val="en-US" w:eastAsia="zh-CN"/>
        </w:rPr>
        <w:t>经济效益及社会效益：随着本标准的推广应用，对于生产企业，可以依据本标准对自身产品的气味净化性能进行分级评定，形成中高端差异化，利于市场推广；对于相关检测单位，方法本身依托现有舱法体系，成本可控，另外本标准的推广应用，会带来检测样品数量的增加。</w:t>
      </w:r>
    </w:p>
    <w:p w14:paraId="52C1295F">
      <w:pPr>
        <w:spacing w:line="360" w:lineRule="auto"/>
        <w:ind w:firstLine="540" w:firstLineChars="225"/>
        <w:rPr>
          <w:rFonts w:ascii="宋体" w:hAnsi="宋体"/>
          <w:sz w:val="24"/>
          <w:szCs w:val="24"/>
        </w:rPr>
      </w:pPr>
      <w:r>
        <w:rPr>
          <w:rFonts w:hint="eastAsia" w:ascii="宋体" w:hAnsi="宋体"/>
          <w:sz w:val="24"/>
          <w:szCs w:val="24"/>
        </w:rPr>
        <w:t>（二）</w:t>
      </w:r>
      <w:r>
        <w:rPr>
          <w:rFonts w:hint="eastAsia" w:ascii="宋体" w:hAnsi="宋体"/>
          <w:sz w:val="24"/>
          <w:szCs w:val="24"/>
          <w:lang w:val="en-US" w:eastAsia="zh-CN"/>
        </w:rPr>
        <w:t>保障消费者权益：</w:t>
      </w:r>
      <w:r>
        <w:rPr>
          <w:rFonts w:hint="eastAsia" w:ascii="宋体" w:hAnsi="宋体"/>
          <w:sz w:val="24"/>
          <w:szCs w:val="24"/>
        </w:rPr>
        <w:t>目前国内</w:t>
      </w:r>
      <w:r>
        <w:rPr>
          <w:rFonts w:hint="eastAsia" w:ascii="宋体" w:hAnsi="宋体"/>
          <w:sz w:val="24"/>
          <w:szCs w:val="24"/>
          <w:lang w:val="en-US" w:eastAsia="zh-CN"/>
        </w:rPr>
        <w:t>室内空气净化材料</w:t>
      </w:r>
      <w:r>
        <w:rPr>
          <w:rFonts w:hint="eastAsia" w:ascii="宋体" w:hAnsi="宋体"/>
          <w:sz w:val="24"/>
          <w:szCs w:val="24"/>
        </w:rPr>
        <w:t>目前暂时没有气味</w:t>
      </w:r>
      <w:r>
        <w:rPr>
          <w:rFonts w:hint="eastAsia" w:ascii="宋体" w:hAnsi="宋体"/>
          <w:sz w:val="24"/>
          <w:szCs w:val="24"/>
          <w:lang w:val="en-US" w:eastAsia="zh-CN"/>
        </w:rPr>
        <w:t>净化性能</w:t>
      </w:r>
      <w:r>
        <w:rPr>
          <w:rFonts w:hint="eastAsia" w:ascii="宋体" w:hAnsi="宋体"/>
          <w:sz w:val="24"/>
          <w:szCs w:val="24"/>
        </w:rPr>
        <w:t>相关的</w:t>
      </w:r>
      <w:r>
        <w:rPr>
          <w:rFonts w:hint="eastAsia" w:ascii="宋体" w:hAnsi="宋体"/>
          <w:sz w:val="24"/>
          <w:szCs w:val="24"/>
          <w:lang w:val="en-US" w:eastAsia="zh-CN"/>
        </w:rPr>
        <w:t>感官评价方</w:t>
      </w:r>
      <w:r>
        <w:rPr>
          <w:rFonts w:hint="eastAsia" w:ascii="宋体" w:hAnsi="宋体"/>
          <w:sz w:val="24"/>
          <w:szCs w:val="24"/>
        </w:rPr>
        <w:t>法，消费者无法对产品</w:t>
      </w:r>
      <w:r>
        <w:rPr>
          <w:rFonts w:hint="eastAsia" w:ascii="宋体" w:hAnsi="宋体"/>
          <w:sz w:val="24"/>
          <w:szCs w:val="24"/>
          <w:lang w:val="en-US" w:eastAsia="zh-CN"/>
        </w:rPr>
        <w:t>的净味功能性</w:t>
      </w:r>
      <w:r>
        <w:rPr>
          <w:rFonts w:hint="eastAsia" w:ascii="宋体" w:hAnsi="宋体"/>
          <w:sz w:val="24"/>
          <w:szCs w:val="24"/>
        </w:rPr>
        <w:t>进行甄选。本标准的推出可以填补标准方法的缺失，提升行业技术水平。</w:t>
      </w:r>
    </w:p>
    <w:p w14:paraId="2432083C">
      <w:pPr>
        <w:tabs>
          <w:tab w:val="left" w:pos="2692"/>
        </w:tabs>
        <w:spacing w:before="326" w:beforeLines="100" w:after="326" w:afterLines="100" w:line="360" w:lineRule="auto"/>
        <w:outlineLvl w:val="0"/>
        <w:rPr>
          <w:rFonts w:ascii="Times New Roman" w:hAnsi="Times New Roman"/>
          <w:b/>
          <w:sz w:val="28"/>
          <w:szCs w:val="28"/>
        </w:rPr>
      </w:pPr>
      <w:bookmarkStart w:id="37" w:name="_Toc37604941"/>
      <w:r>
        <w:rPr>
          <w:rFonts w:ascii="Times New Roman" w:hAnsi="Times New Roman"/>
          <w:b/>
          <w:sz w:val="28"/>
          <w:szCs w:val="28"/>
        </w:rPr>
        <w:t>6. 采用国际标准和国外先进标准的情况</w:t>
      </w:r>
      <w:bookmarkEnd w:id="35"/>
      <w:bookmarkEnd w:id="36"/>
      <w:bookmarkEnd w:id="37"/>
    </w:p>
    <w:p w14:paraId="2E7299B9">
      <w:pPr>
        <w:tabs>
          <w:tab w:val="left" w:pos="2692"/>
        </w:tabs>
        <w:spacing w:line="360" w:lineRule="auto"/>
        <w:ind w:firstLine="480" w:firstLineChars="200"/>
        <w:rPr>
          <w:sz w:val="24"/>
          <w:szCs w:val="24"/>
        </w:rPr>
      </w:pPr>
      <w:r>
        <w:rPr>
          <w:rFonts w:hint="eastAsia"/>
          <w:sz w:val="24"/>
          <w:szCs w:val="24"/>
        </w:rPr>
        <w:t>该标准项目未查询到相关国际标准或国外先进标准。</w:t>
      </w:r>
    </w:p>
    <w:p w14:paraId="7D802352">
      <w:pPr>
        <w:tabs>
          <w:tab w:val="left" w:pos="2692"/>
        </w:tabs>
        <w:spacing w:before="326" w:beforeLines="100" w:after="326" w:afterLines="100" w:line="360" w:lineRule="auto"/>
        <w:outlineLvl w:val="0"/>
        <w:rPr>
          <w:rFonts w:ascii="Times New Roman" w:hAnsi="Times New Roman"/>
          <w:b/>
          <w:sz w:val="28"/>
          <w:szCs w:val="28"/>
        </w:rPr>
      </w:pPr>
      <w:bookmarkStart w:id="38" w:name="_Toc22110"/>
      <w:bookmarkStart w:id="39" w:name="_Toc498585906"/>
      <w:bookmarkStart w:id="40" w:name="_Toc37604942"/>
      <w:r>
        <w:rPr>
          <w:rFonts w:ascii="Times New Roman" w:hAnsi="Times New Roman"/>
          <w:b/>
          <w:sz w:val="28"/>
          <w:szCs w:val="28"/>
        </w:rPr>
        <w:t>7. 与现行相关法律、法规、规章及相关标准，特别是强制性标准的协调性</w:t>
      </w:r>
      <w:bookmarkEnd w:id="38"/>
      <w:bookmarkEnd w:id="39"/>
      <w:bookmarkEnd w:id="40"/>
    </w:p>
    <w:p w14:paraId="37D80E2E">
      <w:pPr>
        <w:adjustRightInd w:val="0"/>
        <w:snapToGrid w:val="0"/>
        <w:spacing w:line="360" w:lineRule="auto"/>
        <w:rPr>
          <w:rFonts w:ascii="Times New Roman" w:hAnsiTheme="minorEastAsia"/>
          <w:kern w:val="0"/>
          <w:sz w:val="24"/>
          <w:szCs w:val="24"/>
        </w:rPr>
      </w:pPr>
      <w:r>
        <w:rPr>
          <w:rFonts w:hint="eastAsia" w:ascii="Times New Roman" w:hAnsiTheme="minorEastAsia"/>
          <w:kern w:val="0"/>
          <w:sz w:val="24"/>
          <w:szCs w:val="24"/>
        </w:rPr>
        <w:t>本标准</w:t>
      </w:r>
      <w:r>
        <w:rPr>
          <w:rFonts w:ascii="Times New Roman" w:hAnsiTheme="minorEastAsia"/>
          <w:kern w:val="0"/>
          <w:sz w:val="24"/>
          <w:szCs w:val="24"/>
        </w:rPr>
        <w:t>与</w:t>
      </w:r>
      <w:r>
        <w:rPr>
          <w:rFonts w:hint="eastAsia" w:ascii="Times New Roman" w:hAnsiTheme="minorEastAsia"/>
          <w:kern w:val="0"/>
          <w:sz w:val="24"/>
          <w:szCs w:val="24"/>
        </w:rPr>
        <w:t>现行</w:t>
      </w:r>
      <w:r>
        <w:rPr>
          <w:rFonts w:ascii="Times New Roman" w:hAnsiTheme="minorEastAsia"/>
          <w:kern w:val="0"/>
          <w:sz w:val="24"/>
          <w:szCs w:val="24"/>
        </w:rPr>
        <w:t>标准的相关性</w:t>
      </w:r>
    </w:p>
    <w:p w14:paraId="76A4CB41">
      <w:pPr>
        <w:adjustRightInd w:val="0"/>
        <w:snapToGrid w:val="0"/>
        <w:spacing w:line="360" w:lineRule="auto"/>
        <w:rPr>
          <w:rFonts w:ascii="Times New Roman" w:hAnsiTheme="minorEastAsia"/>
          <w:kern w:val="0"/>
          <w:sz w:val="24"/>
          <w:szCs w:val="24"/>
        </w:rPr>
      </w:pPr>
      <w:r>
        <w:rPr>
          <w:rFonts w:hint="eastAsia" w:ascii="Times New Roman" w:hAnsiTheme="minorEastAsia"/>
          <w:kern w:val="0"/>
          <w:sz w:val="24"/>
          <w:szCs w:val="24"/>
        </w:rPr>
        <w:t>（1）本标准直接引用了</w:t>
      </w:r>
      <w:r>
        <w:rPr>
          <w:rFonts w:hint="eastAsia" w:ascii="Times New Roman" w:hAnsiTheme="minorEastAsia"/>
          <w:kern w:val="0"/>
          <w:sz w:val="24"/>
          <w:szCs w:val="24"/>
          <w:lang w:val="en-US" w:eastAsia="zh-CN"/>
        </w:rPr>
        <w:t>GB/T 43353-2023</w:t>
      </w:r>
      <w:r>
        <w:rPr>
          <w:rFonts w:hint="eastAsia" w:ascii="Times New Roman" w:hAnsiTheme="minorEastAsia"/>
          <w:kern w:val="0"/>
          <w:sz w:val="24"/>
          <w:szCs w:val="24"/>
        </w:rPr>
        <w:t>《建材产品的气味释放测试与评价  环境测试舱法》的</w:t>
      </w:r>
      <w:r>
        <w:rPr>
          <w:rFonts w:hint="eastAsia" w:ascii="Times New Roman" w:hAnsiTheme="minorEastAsia"/>
          <w:kern w:val="0"/>
          <w:sz w:val="24"/>
          <w:szCs w:val="24"/>
          <w:lang w:val="en-US" w:eastAsia="zh-CN"/>
        </w:rPr>
        <w:t>气味评价实验室、人员的要求和气味强度的评价方法</w:t>
      </w:r>
      <w:r>
        <w:rPr>
          <w:rFonts w:hint="eastAsia" w:ascii="Times New Roman" w:hAnsiTheme="minorEastAsia"/>
          <w:kern w:val="0"/>
          <w:sz w:val="24"/>
          <w:szCs w:val="24"/>
        </w:rPr>
        <w:t>。</w:t>
      </w:r>
    </w:p>
    <w:p w14:paraId="2B1686EF">
      <w:pPr>
        <w:adjustRightInd w:val="0"/>
        <w:snapToGrid w:val="0"/>
        <w:spacing w:line="360" w:lineRule="auto"/>
        <w:rPr>
          <w:rFonts w:hint="eastAsia" w:ascii="Times New Roman" w:hAnsiTheme="minorEastAsia"/>
          <w:kern w:val="0"/>
          <w:sz w:val="24"/>
          <w:szCs w:val="24"/>
        </w:rPr>
      </w:pPr>
      <w:r>
        <w:rPr>
          <w:rFonts w:hint="eastAsia" w:ascii="Times New Roman" w:hAnsiTheme="minorEastAsia"/>
          <w:kern w:val="0"/>
          <w:sz w:val="24"/>
          <w:szCs w:val="24"/>
        </w:rPr>
        <w:t>（2）本标准直接引用了</w:t>
      </w:r>
      <w:r>
        <w:rPr>
          <w:rFonts w:hint="eastAsia" w:ascii="Times New Roman" w:hAnsiTheme="minorEastAsia"/>
          <w:kern w:val="0"/>
          <w:sz w:val="24"/>
          <w:szCs w:val="24"/>
          <w:lang w:val="en-US" w:eastAsia="zh-CN"/>
        </w:rPr>
        <w:t>JC/T 1074《</w:t>
      </w:r>
      <w:r>
        <w:rPr>
          <w:rFonts w:hint="eastAsia" w:ascii="Times New Roman" w:hAnsiTheme="minorEastAsia"/>
          <w:kern w:val="0"/>
          <w:sz w:val="24"/>
          <w:szCs w:val="24"/>
        </w:rPr>
        <w:t>室内空气净化功能涂覆材料净化性能》</w:t>
      </w:r>
      <w:r>
        <w:rPr>
          <w:rFonts w:hint="eastAsia" w:ascii="Times New Roman" w:hAnsiTheme="minorEastAsia"/>
          <w:kern w:val="0"/>
          <w:sz w:val="24"/>
          <w:szCs w:val="24"/>
          <w:lang w:val="en-US" w:eastAsia="zh-CN"/>
        </w:rPr>
        <w:t>中对于试验舱的要求</w:t>
      </w:r>
      <w:r>
        <w:rPr>
          <w:rFonts w:hint="eastAsia" w:ascii="Times New Roman" w:hAnsiTheme="minorEastAsia"/>
          <w:kern w:val="0"/>
          <w:sz w:val="24"/>
          <w:szCs w:val="24"/>
        </w:rPr>
        <w:t>。</w:t>
      </w:r>
    </w:p>
    <w:p w14:paraId="4EB55DE2">
      <w:pPr>
        <w:adjustRightInd w:val="0"/>
        <w:snapToGrid w:val="0"/>
        <w:spacing w:line="360" w:lineRule="auto"/>
        <w:rPr>
          <w:rFonts w:hint="eastAsia" w:ascii="Times New Roman" w:hAnsiTheme="minorEastAsia"/>
          <w:kern w:val="0"/>
          <w:sz w:val="24"/>
          <w:szCs w:val="24"/>
          <w:lang w:val="en-US" w:eastAsia="zh-CN"/>
        </w:rPr>
      </w:pPr>
      <w:r>
        <w:rPr>
          <w:rFonts w:hint="eastAsia" w:ascii="Times New Roman" w:hAnsiTheme="minorEastAsia"/>
          <w:kern w:val="0"/>
          <w:sz w:val="24"/>
          <w:szCs w:val="24"/>
          <w:lang w:val="en-US" w:eastAsia="zh-CN"/>
        </w:rPr>
        <w:t>（3）本标准直接引用了JJF（建材）240-2025《建材产品气味评价用负压采气箱校准规范》中对于负压采气箱的要求。</w:t>
      </w:r>
    </w:p>
    <w:p w14:paraId="05D093AD">
      <w:pPr>
        <w:adjustRightInd w:val="0"/>
        <w:snapToGrid w:val="0"/>
        <w:spacing w:line="360" w:lineRule="auto"/>
        <w:rPr>
          <w:rFonts w:hint="eastAsia" w:ascii="Times New Roman" w:hAnsiTheme="minorEastAsia"/>
          <w:kern w:val="0"/>
          <w:sz w:val="24"/>
          <w:szCs w:val="24"/>
          <w:lang w:val="en-US" w:eastAsia="zh-CN"/>
        </w:rPr>
      </w:pPr>
      <w:r>
        <w:rPr>
          <w:rFonts w:hint="eastAsia" w:ascii="Times New Roman" w:hAnsiTheme="minorEastAsia"/>
          <w:kern w:val="0"/>
          <w:sz w:val="24"/>
          <w:szCs w:val="24"/>
          <w:lang w:val="en-US" w:eastAsia="zh-CN"/>
        </w:rPr>
        <w:t>（4）本标准直接引用了JJF（建材）241-2025《建材产品气味评价用原始气体嗅辨仪校准规范》中对于负压采气箱的要求。</w:t>
      </w:r>
    </w:p>
    <w:p w14:paraId="1A433E4B">
      <w:pPr>
        <w:tabs>
          <w:tab w:val="left" w:pos="2692"/>
        </w:tabs>
        <w:spacing w:before="326" w:beforeLines="100" w:after="326" w:afterLines="100" w:line="360" w:lineRule="auto"/>
        <w:outlineLvl w:val="0"/>
        <w:rPr>
          <w:rFonts w:ascii="Times New Roman" w:hAnsi="Times New Roman"/>
          <w:b/>
          <w:sz w:val="28"/>
          <w:szCs w:val="28"/>
        </w:rPr>
      </w:pPr>
      <w:bookmarkStart w:id="41" w:name="_Toc37604943"/>
      <w:bookmarkStart w:id="42" w:name="_Toc8267"/>
      <w:bookmarkStart w:id="43" w:name="_Toc498585907"/>
      <w:r>
        <w:rPr>
          <w:rFonts w:ascii="Times New Roman" w:hAnsi="Times New Roman"/>
          <w:b/>
          <w:sz w:val="28"/>
          <w:szCs w:val="28"/>
        </w:rPr>
        <w:t>8. 重大分歧意见的处理过程和依据</w:t>
      </w:r>
      <w:bookmarkEnd w:id="41"/>
      <w:bookmarkEnd w:id="42"/>
      <w:bookmarkEnd w:id="43"/>
    </w:p>
    <w:p w14:paraId="20B970F4">
      <w:pPr>
        <w:spacing w:line="360" w:lineRule="auto"/>
        <w:ind w:firstLine="480" w:firstLineChars="200"/>
        <w:rPr>
          <w:rFonts w:ascii="Times New Roman" w:hAnsi="Times New Roman"/>
          <w:color w:val="000000"/>
          <w:sz w:val="24"/>
          <w:szCs w:val="24"/>
        </w:rPr>
      </w:pPr>
      <w:r>
        <w:rPr>
          <w:rFonts w:ascii="Times New Roman"/>
          <w:color w:val="000000"/>
          <w:sz w:val="24"/>
          <w:szCs w:val="24"/>
        </w:rPr>
        <w:t>无重大分歧意见。</w:t>
      </w:r>
    </w:p>
    <w:p w14:paraId="052F12D7">
      <w:pPr>
        <w:tabs>
          <w:tab w:val="left" w:pos="2692"/>
        </w:tabs>
        <w:spacing w:before="326" w:beforeLines="100" w:after="326" w:afterLines="100" w:line="360" w:lineRule="auto"/>
        <w:outlineLvl w:val="0"/>
        <w:rPr>
          <w:rFonts w:ascii="Times New Roman" w:hAnsi="Times New Roman"/>
          <w:b/>
          <w:sz w:val="28"/>
          <w:szCs w:val="28"/>
        </w:rPr>
      </w:pPr>
      <w:bookmarkStart w:id="44" w:name="_Toc498585908"/>
      <w:bookmarkStart w:id="45" w:name="_Toc27540"/>
      <w:bookmarkStart w:id="46" w:name="_Toc37604944"/>
      <w:r>
        <w:rPr>
          <w:rFonts w:ascii="Times New Roman" w:hAnsi="Times New Roman"/>
          <w:b/>
          <w:sz w:val="28"/>
          <w:szCs w:val="28"/>
        </w:rPr>
        <w:t>9. 标准性质的建议说明</w:t>
      </w:r>
      <w:bookmarkEnd w:id="44"/>
      <w:bookmarkEnd w:id="45"/>
      <w:bookmarkEnd w:id="46"/>
    </w:p>
    <w:p w14:paraId="79F27F8B">
      <w:pPr>
        <w:spacing w:line="360" w:lineRule="auto"/>
        <w:ind w:firstLine="480" w:firstLineChars="200"/>
        <w:rPr>
          <w:rFonts w:ascii="Times New Roman" w:hAnsi="Times New Roman"/>
          <w:color w:val="000000"/>
          <w:sz w:val="24"/>
          <w:szCs w:val="24"/>
        </w:rPr>
      </w:pPr>
      <w:r>
        <w:rPr>
          <w:rFonts w:ascii="Times New Roman"/>
          <w:color w:val="000000"/>
          <w:sz w:val="24"/>
          <w:szCs w:val="24"/>
        </w:rPr>
        <w:t>建议本标准为推荐性标准。</w:t>
      </w:r>
    </w:p>
    <w:p w14:paraId="6713F599">
      <w:pPr>
        <w:tabs>
          <w:tab w:val="left" w:pos="2692"/>
        </w:tabs>
        <w:spacing w:before="326" w:beforeLines="100" w:after="326" w:afterLines="100" w:line="360" w:lineRule="auto"/>
        <w:outlineLvl w:val="0"/>
        <w:rPr>
          <w:rFonts w:ascii="Times New Roman" w:hAnsi="Times New Roman"/>
          <w:b/>
          <w:sz w:val="28"/>
          <w:szCs w:val="28"/>
        </w:rPr>
      </w:pPr>
      <w:bookmarkStart w:id="47" w:name="_Toc37604945"/>
      <w:bookmarkStart w:id="48" w:name="_Toc6716"/>
      <w:bookmarkStart w:id="49" w:name="_Toc498585909"/>
      <w:r>
        <w:rPr>
          <w:rFonts w:ascii="Times New Roman" w:hAnsi="Times New Roman"/>
          <w:b/>
          <w:sz w:val="28"/>
          <w:szCs w:val="28"/>
        </w:rPr>
        <w:t>10. 贯彻本标准的要求和措施建议</w:t>
      </w:r>
      <w:bookmarkEnd w:id="47"/>
      <w:bookmarkEnd w:id="48"/>
      <w:bookmarkEnd w:id="49"/>
    </w:p>
    <w:p w14:paraId="03C1E366">
      <w:pPr>
        <w:spacing w:line="360" w:lineRule="auto"/>
        <w:ind w:firstLine="480" w:firstLineChars="200"/>
        <w:rPr>
          <w:rFonts w:ascii="Times New Roman" w:hAnsi="Times New Roman"/>
          <w:color w:val="000000"/>
          <w:sz w:val="24"/>
          <w:szCs w:val="24"/>
        </w:rPr>
      </w:pPr>
      <w:r>
        <w:rPr>
          <w:rFonts w:ascii="Times New Roman"/>
          <w:color w:val="000000"/>
          <w:sz w:val="24"/>
          <w:szCs w:val="24"/>
        </w:rPr>
        <w:t>建议本标准在</w:t>
      </w:r>
      <w:r>
        <w:rPr>
          <w:rFonts w:ascii="Times New Roman" w:hAnsi="Times New Roman"/>
          <w:color w:val="000000"/>
          <w:sz w:val="24"/>
          <w:szCs w:val="24"/>
        </w:rPr>
        <w:t>202</w:t>
      </w:r>
      <w:r>
        <w:rPr>
          <w:rFonts w:hint="eastAsia" w:ascii="Times New Roman" w:hAnsi="Times New Roman"/>
          <w:color w:val="000000"/>
          <w:sz w:val="24"/>
          <w:szCs w:val="24"/>
          <w:lang w:val="en-US" w:eastAsia="zh-CN"/>
        </w:rPr>
        <w:t>6</w:t>
      </w:r>
      <w:r>
        <w:rPr>
          <w:rFonts w:ascii="Times New Roman"/>
          <w:color w:val="000000"/>
          <w:sz w:val="24"/>
          <w:szCs w:val="24"/>
        </w:rPr>
        <w:t>年实施。需要时，应由标准主编单位进行培训。</w:t>
      </w:r>
    </w:p>
    <w:p w14:paraId="403D7A59">
      <w:pPr>
        <w:tabs>
          <w:tab w:val="left" w:pos="2692"/>
        </w:tabs>
        <w:spacing w:before="326" w:beforeLines="100" w:after="326" w:afterLines="100" w:line="360" w:lineRule="auto"/>
        <w:outlineLvl w:val="0"/>
        <w:rPr>
          <w:rFonts w:ascii="Times New Roman" w:hAnsi="Times New Roman"/>
          <w:b/>
          <w:sz w:val="28"/>
          <w:szCs w:val="28"/>
        </w:rPr>
      </w:pPr>
      <w:bookmarkStart w:id="50" w:name="_Toc37604946"/>
      <w:bookmarkStart w:id="51" w:name="_Toc3741"/>
      <w:r>
        <w:rPr>
          <w:rFonts w:ascii="Times New Roman" w:hAnsi="Times New Roman"/>
          <w:b/>
          <w:sz w:val="28"/>
          <w:szCs w:val="28"/>
        </w:rPr>
        <w:t>11</w:t>
      </w:r>
      <w:r>
        <w:rPr>
          <w:rFonts w:hint="eastAsia" w:ascii="Times New Roman" w:hAnsi="Times New Roman"/>
          <w:b/>
          <w:sz w:val="28"/>
          <w:szCs w:val="28"/>
        </w:rPr>
        <w:t>.</w:t>
      </w:r>
      <w:r>
        <w:rPr>
          <w:rFonts w:ascii="Times New Roman" w:hAnsi="Times New Roman"/>
          <w:b/>
          <w:sz w:val="28"/>
          <w:szCs w:val="28"/>
        </w:rPr>
        <w:t>废止现行有关标准的建议</w:t>
      </w:r>
      <w:bookmarkEnd w:id="50"/>
      <w:bookmarkEnd w:id="51"/>
    </w:p>
    <w:p w14:paraId="118B8E50">
      <w:pPr>
        <w:spacing w:line="360" w:lineRule="auto"/>
        <w:ind w:firstLine="480"/>
        <w:jc w:val="left"/>
        <w:rPr>
          <w:rFonts w:ascii="Times New Roman" w:hAnsi="Times New Roman" w:eastAsiaTheme="minorEastAsia"/>
          <w:sz w:val="24"/>
          <w:szCs w:val="24"/>
        </w:rPr>
      </w:pPr>
      <w:r>
        <w:rPr>
          <w:rFonts w:ascii="Times New Roman" w:hAnsiTheme="minorEastAsia" w:eastAsiaTheme="minorEastAsia"/>
          <w:sz w:val="24"/>
          <w:szCs w:val="24"/>
        </w:rPr>
        <w:t>无。</w:t>
      </w:r>
    </w:p>
    <w:p w14:paraId="31DF4EB5">
      <w:pPr>
        <w:pStyle w:val="2"/>
        <w:rPr>
          <w:rFonts w:ascii="Times New Roman" w:hAnsi="Times New Roman"/>
          <w:sz w:val="28"/>
          <w:szCs w:val="28"/>
        </w:rPr>
      </w:pPr>
      <w:bookmarkStart w:id="52" w:name="_Toc3905"/>
      <w:bookmarkStart w:id="53" w:name="_Toc37604947"/>
      <w:r>
        <w:rPr>
          <w:rFonts w:ascii="Times New Roman" w:hAnsi="Times New Roman"/>
          <w:sz w:val="28"/>
          <w:szCs w:val="28"/>
        </w:rPr>
        <w:t>12</w:t>
      </w:r>
      <w:r>
        <w:rPr>
          <w:rFonts w:hint="eastAsia" w:ascii="Times New Roman" w:hAnsi="Times New Roman"/>
          <w:sz w:val="28"/>
          <w:szCs w:val="28"/>
        </w:rPr>
        <w:t>．</w:t>
      </w:r>
      <w:r>
        <w:rPr>
          <w:rFonts w:ascii="Times New Roman"/>
          <w:sz w:val="28"/>
          <w:szCs w:val="28"/>
        </w:rPr>
        <w:t>其他应说明的事项</w:t>
      </w:r>
      <w:bookmarkEnd w:id="52"/>
      <w:bookmarkEnd w:id="53"/>
    </w:p>
    <w:p w14:paraId="5EDB3FB5">
      <w:pPr>
        <w:spacing w:line="360" w:lineRule="auto"/>
        <w:ind w:firstLine="720" w:firstLineChars="300"/>
        <w:jc w:val="left"/>
        <w:rPr>
          <w:rFonts w:ascii="Times New Roman" w:hAnsi="Times New Roman" w:eastAsiaTheme="minorEastAsia"/>
          <w:sz w:val="24"/>
          <w:szCs w:val="24"/>
        </w:rPr>
      </w:pPr>
      <w:r>
        <w:rPr>
          <w:rFonts w:ascii="Times New Roman" w:hAnsiTheme="minorEastAsia" w:eastAsiaTheme="minorEastAsia"/>
          <w:sz w:val="24"/>
          <w:szCs w:val="24"/>
        </w:rPr>
        <w:t>无</w:t>
      </w:r>
    </w:p>
    <w:p w14:paraId="1C27E74F">
      <w:pPr>
        <w:spacing w:line="360" w:lineRule="auto"/>
        <w:ind w:firstLine="1920" w:firstLineChars="800"/>
        <w:jc w:val="left"/>
        <w:rPr>
          <w:rFonts w:ascii="Times New Roman" w:hAnsi="Times New Roman" w:eastAsiaTheme="minorEastAsia"/>
          <w:sz w:val="24"/>
          <w:szCs w:val="24"/>
        </w:rPr>
        <w:sectPr>
          <w:pgSz w:w="11906" w:h="16838"/>
          <w:pgMar w:top="1134" w:right="1304" w:bottom="1134" w:left="1134" w:header="851" w:footer="992" w:gutter="0"/>
          <w:pgNumType w:start="1"/>
          <w:cols w:space="425" w:num="1"/>
          <w:docGrid w:type="lines" w:linePitch="326" w:charSpace="0"/>
        </w:sectPr>
      </w:pPr>
    </w:p>
    <w:p w14:paraId="41E19266">
      <w:pPr>
        <w:pStyle w:val="2"/>
        <w:rPr>
          <w:rFonts w:ascii="Times New Roman"/>
          <w:sz w:val="28"/>
          <w:szCs w:val="28"/>
        </w:rPr>
      </w:pPr>
      <w:bookmarkStart w:id="54" w:name="_Toc37604948"/>
      <w:r>
        <w:rPr>
          <w:rFonts w:ascii="Times New Roman"/>
          <w:sz w:val="28"/>
          <w:szCs w:val="28"/>
        </w:rPr>
        <w:t>附录</w:t>
      </w:r>
      <w:r>
        <w:rPr>
          <w:rFonts w:hint="eastAsia" w:ascii="Times New Roman"/>
          <w:sz w:val="28"/>
          <w:szCs w:val="28"/>
        </w:rPr>
        <w:t>A</w:t>
      </w:r>
      <w:bookmarkEnd w:id="54"/>
    </w:p>
    <w:p w14:paraId="05BA1E96">
      <w:pPr>
        <w:jc w:val="center"/>
        <w:rPr>
          <w:rFonts w:ascii="黑体" w:hAnsi="黑体" w:eastAsia="黑体"/>
          <w:sz w:val="32"/>
          <w:szCs w:val="32"/>
        </w:rPr>
      </w:pPr>
      <w:r>
        <w:rPr>
          <w:rFonts w:hint="eastAsia" w:ascii="黑体" w:hAnsi="黑体" w:eastAsia="黑体"/>
          <w:sz w:val="32"/>
          <w:szCs w:val="32"/>
        </w:rPr>
        <w:t>验证试验</w:t>
      </w:r>
      <w:r>
        <w:rPr>
          <w:rFonts w:ascii="黑体" w:hAnsi="黑体" w:eastAsia="黑体"/>
          <w:sz w:val="32"/>
          <w:szCs w:val="32"/>
        </w:rPr>
        <w:t>结果</w:t>
      </w:r>
      <w:r>
        <w:rPr>
          <w:rFonts w:hint="eastAsia" w:ascii="黑体" w:hAnsi="黑体" w:eastAsia="黑体"/>
          <w:sz w:val="32"/>
          <w:szCs w:val="32"/>
        </w:rPr>
        <w:t>报告</w:t>
      </w:r>
    </w:p>
    <w:p w14:paraId="1DFB8039">
      <w:pPr>
        <w:pStyle w:val="63"/>
        <w:numPr>
          <w:ilvl w:val="0"/>
          <w:numId w:val="4"/>
        </w:numPr>
        <w:adjustRightInd w:val="0"/>
        <w:snapToGrid w:val="0"/>
        <w:spacing w:before="156" w:after="156" w:line="360" w:lineRule="auto"/>
        <w:rPr>
          <w:rStyle w:val="20"/>
          <w:rFonts w:ascii="Times New Roman"/>
          <w:b w:val="0"/>
          <w:sz w:val="24"/>
          <w:szCs w:val="24"/>
        </w:rPr>
      </w:pPr>
      <w:r>
        <w:rPr>
          <w:rStyle w:val="20"/>
          <w:rFonts w:hint="eastAsia" w:ascii="Times New Roman"/>
          <w:b w:val="0"/>
          <w:sz w:val="24"/>
          <w:szCs w:val="24"/>
        </w:rPr>
        <w:t>方法重复性</w:t>
      </w:r>
    </w:p>
    <w:p w14:paraId="53106A90">
      <w:pPr>
        <w:pStyle w:val="29"/>
        <w:spacing w:line="360" w:lineRule="auto"/>
        <w:ind w:firstLine="483"/>
        <w:rPr>
          <w:sz w:val="24"/>
          <w:szCs w:val="24"/>
        </w:rPr>
      </w:pPr>
      <w:r>
        <w:rPr>
          <w:rFonts w:hint="eastAsia"/>
          <w:sz w:val="24"/>
          <w:szCs w:val="24"/>
        </w:rPr>
        <w:t>按照本文件的方法对</w:t>
      </w:r>
      <w:r>
        <w:rPr>
          <w:sz w:val="24"/>
          <w:szCs w:val="24"/>
        </w:rPr>
        <w:t>5</w:t>
      </w:r>
      <w:r>
        <w:rPr>
          <w:rFonts w:hint="eastAsia"/>
          <w:sz w:val="24"/>
          <w:szCs w:val="24"/>
        </w:rPr>
        <w:t>类</w:t>
      </w:r>
      <w:r>
        <w:rPr>
          <w:rFonts w:hint="eastAsia"/>
          <w:sz w:val="24"/>
          <w:szCs w:val="24"/>
          <w:lang w:val="en-US" w:eastAsia="zh-CN"/>
        </w:rPr>
        <w:t>室内空气净化材料</w:t>
      </w:r>
      <w:r>
        <w:rPr>
          <w:rFonts w:hint="eastAsia"/>
          <w:sz w:val="24"/>
          <w:szCs w:val="24"/>
        </w:rPr>
        <w:t>产品进行气味</w:t>
      </w:r>
      <w:r>
        <w:rPr>
          <w:rFonts w:hint="eastAsia"/>
          <w:sz w:val="24"/>
          <w:szCs w:val="24"/>
          <w:lang w:val="en-US" w:eastAsia="zh-CN"/>
        </w:rPr>
        <w:t>净化性能</w:t>
      </w:r>
      <w:r>
        <w:rPr>
          <w:rFonts w:hint="eastAsia"/>
          <w:sz w:val="24"/>
          <w:szCs w:val="24"/>
        </w:rPr>
        <w:t>的测试，每个样品均平行评价6次。结果须满足</w:t>
      </w:r>
      <w:r>
        <w:rPr>
          <w:sz w:val="24"/>
          <w:szCs w:val="24"/>
        </w:rPr>
        <w:t>标准偏差</w:t>
      </w:r>
      <w:r>
        <w:rPr>
          <w:rFonts w:hint="eastAsia"/>
          <w:sz w:val="24"/>
          <w:szCs w:val="24"/>
        </w:rPr>
        <w:t>≤0.5。</w:t>
      </w:r>
    </w:p>
    <w:p w14:paraId="37D4EC55">
      <w:pPr>
        <w:pStyle w:val="29"/>
        <w:spacing w:line="360" w:lineRule="auto"/>
        <w:ind w:firstLine="483"/>
        <w:jc w:val="center"/>
        <w:rPr>
          <w:sz w:val="24"/>
          <w:szCs w:val="24"/>
        </w:rPr>
      </w:pPr>
      <w:bookmarkStart w:id="55" w:name="_Hlk49866374"/>
      <w:r>
        <w:rPr>
          <w:rFonts w:hint="eastAsia"/>
          <w:sz w:val="24"/>
          <w:szCs w:val="24"/>
        </w:rPr>
        <w:t>表A.1气味强度重复性数据</w:t>
      </w:r>
    </w:p>
    <w:tbl>
      <w:tblPr>
        <w:tblStyle w:val="18"/>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775"/>
        <w:gridCol w:w="1631"/>
        <w:gridCol w:w="1469"/>
        <w:gridCol w:w="1469"/>
        <w:gridCol w:w="1469"/>
        <w:gridCol w:w="1306"/>
        <w:gridCol w:w="1308"/>
        <w:gridCol w:w="2612"/>
      </w:tblGrid>
      <w:tr w14:paraId="5026E7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7" w:hRule="atLeast"/>
        </w:trPr>
        <w:tc>
          <w:tcPr>
            <w:tcW w:w="2775" w:type="dxa"/>
            <w:vMerge w:val="restart"/>
            <w:shd w:val="clear" w:color="auto" w:fill="auto"/>
            <w:vAlign w:val="center"/>
          </w:tcPr>
          <w:p w14:paraId="7E7B406F">
            <w:pPr>
              <w:pStyle w:val="29"/>
              <w:adjustRightInd w:val="0"/>
              <w:snapToGrid w:val="0"/>
              <w:ind w:firstLine="0" w:firstLineChars="0"/>
              <w:jc w:val="center"/>
              <w:rPr>
                <w:rFonts w:hAnsi="Times New Roman"/>
                <w:sz w:val="24"/>
                <w:szCs w:val="24"/>
              </w:rPr>
            </w:pPr>
            <w:r>
              <w:rPr>
                <w:rFonts w:hint="eastAsia" w:hAnsi="Times New Roman"/>
                <w:sz w:val="24"/>
                <w:szCs w:val="24"/>
              </w:rPr>
              <w:t>产品类型</w:t>
            </w:r>
          </w:p>
        </w:tc>
        <w:tc>
          <w:tcPr>
            <w:tcW w:w="8652" w:type="dxa"/>
            <w:gridSpan w:val="6"/>
            <w:shd w:val="clear" w:color="auto" w:fill="auto"/>
            <w:vAlign w:val="center"/>
          </w:tcPr>
          <w:p w14:paraId="5963CE12">
            <w:pPr>
              <w:pStyle w:val="29"/>
              <w:adjustRightInd w:val="0"/>
              <w:snapToGrid w:val="0"/>
              <w:ind w:firstLine="0" w:firstLineChars="0"/>
              <w:jc w:val="center"/>
              <w:rPr>
                <w:rFonts w:hAnsi="Times New Roman"/>
                <w:sz w:val="24"/>
                <w:szCs w:val="24"/>
              </w:rPr>
            </w:pPr>
            <w:r>
              <w:rPr>
                <w:rFonts w:hint="eastAsia"/>
                <w:sz w:val="24"/>
                <w:szCs w:val="24"/>
                <w:lang w:val="en-US" w:eastAsia="zh-CN"/>
              </w:rPr>
              <w:t>试验</w:t>
            </w:r>
            <w:r>
              <w:rPr>
                <w:rFonts w:hAnsi="Times New Roman"/>
                <w:sz w:val="24"/>
                <w:szCs w:val="24"/>
              </w:rPr>
              <w:t>结果</w:t>
            </w:r>
            <m:oMath>
              <m:r>
                <m:rPr>
                  <m:sty m:val="p"/>
                </m:rPr>
                <w:rPr>
                  <w:rFonts w:ascii="Cambria Math" w:hAnsi="Cambria Math"/>
                  <w:sz w:val="24"/>
                  <w:szCs w:val="24"/>
                </w:rPr>
                <m:t>∆</m:t>
              </m:r>
              <m:r>
                <m:rPr>
                  <m:sty m:val="p"/>
                </m:rPr>
                <w:rPr>
                  <w:rFonts w:hint="default" w:ascii="Cambria Math" w:hAnsi="Cambria Math"/>
                  <w:sz w:val="24"/>
                  <w:szCs w:val="24"/>
                  <w:lang w:val="en-US" w:eastAsia="zh-CN"/>
                </w:rPr>
                <m:t>OI</m:t>
              </m:r>
            </m:oMath>
            <w:r>
              <w:rPr>
                <w:rFonts w:hAnsi="Times New Roman"/>
                <w:sz w:val="24"/>
                <w:szCs w:val="24"/>
              </w:rPr>
              <w:t>/(级)</w:t>
            </w:r>
          </w:p>
        </w:tc>
        <w:tc>
          <w:tcPr>
            <w:tcW w:w="2612" w:type="dxa"/>
            <w:vMerge w:val="restart"/>
            <w:shd w:val="clear" w:color="auto" w:fill="auto"/>
            <w:vAlign w:val="center"/>
          </w:tcPr>
          <w:p w14:paraId="64E56A2B">
            <w:pPr>
              <w:pStyle w:val="29"/>
              <w:adjustRightInd w:val="0"/>
              <w:snapToGrid w:val="0"/>
              <w:ind w:firstLine="0" w:firstLineChars="0"/>
              <w:jc w:val="center"/>
              <w:rPr>
                <w:rFonts w:hAnsi="Times New Roman"/>
                <w:sz w:val="24"/>
                <w:szCs w:val="24"/>
              </w:rPr>
            </w:pPr>
            <w:r>
              <w:rPr>
                <w:rFonts w:hAnsi="Times New Roman"/>
                <w:sz w:val="24"/>
                <w:szCs w:val="24"/>
              </w:rPr>
              <w:t>标准偏差SD</w:t>
            </w:r>
          </w:p>
        </w:tc>
      </w:tr>
      <w:tr w14:paraId="70F523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7" w:hRule="atLeast"/>
        </w:trPr>
        <w:tc>
          <w:tcPr>
            <w:tcW w:w="2775" w:type="dxa"/>
            <w:vMerge w:val="continue"/>
            <w:shd w:val="clear" w:color="auto" w:fill="auto"/>
            <w:vAlign w:val="center"/>
          </w:tcPr>
          <w:p w14:paraId="7F8A6CA9">
            <w:pPr>
              <w:pStyle w:val="29"/>
              <w:adjustRightInd w:val="0"/>
              <w:snapToGrid w:val="0"/>
              <w:ind w:firstLine="0" w:firstLineChars="0"/>
              <w:jc w:val="center"/>
              <w:rPr>
                <w:rFonts w:hAnsi="Times New Roman"/>
                <w:sz w:val="24"/>
                <w:szCs w:val="24"/>
              </w:rPr>
            </w:pPr>
          </w:p>
        </w:tc>
        <w:tc>
          <w:tcPr>
            <w:tcW w:w="1631" w:type="dxa"/>
            <w:shd w:val="clear" w:color="auto" w:fill="auto"/>
            <w:vAlign w:val="center"/>
          </w:tcPr>
          <w:p w14:paraId="7C778494">
            <w:pPr>
              <w:pStyle w:val="29"/>
              <w:spacing w:line="360" w:lineRule="auto"/>
              <w:ind w:firstLine="0" w:firstLineChars="0"/>
              <w:jc w:val="center"/>
              <w:rPr>
                <w:rFonts w:hAnsi="Calibri"/>
                <w:sz w:val="24"/>
                <w:szCs w:val="24"/>
              </w:rPr>
            </w:pPr>
            <w:r>
              <w:rPr>
                <w:rFonts w:hAnsi="Calibri"/>
                <w:sz w:val="24"/>
                <w:szCs w:val="24"/>
              </w:rPr>
              <w:t>1</w:t>
            </w:r>
          </w:p>
        </w:tc>
        <w:tc>
          <w:tcPr>
            <w:tcW w:w="1469" w:type="dxa"/>
            <w:shd w:val="clear" w:color="auto" w:fill="auto"/>
            <w:vAlign w:val="center"/>
          </w:tcPr>
          <w:p w14:paraId="10262545">
            <w:pPr>
              <w:pStyle w:val="29"/>
              <w:spacing w:line="360" w:lineRule="auto"/>
              <w:ind w:firstLine="0" w:firstLineChars="0"/>
              <w:jc w:val="center"/>
              <w:rPr>
                <w:rFonts w:hAnsi="Calibri"/>
                <w:sz w:val="24"/>
                <w:szCs w:val="24"/>
              </w:rPr>
            </w:pPr>
            <w:r>
              <w:rPr>
                <w:rFonts w:hAnsi="Calibri"/>
                <w:sz w:val="24"/>
                <w:szCs w:val="24"/>
              </w:rPr>
              <w:t>2</w:t>
            </w:r>
          </w:p>
        </w:tc>
        <w:tc>
          <w:tcPr>
            <w:tcW w:w="1469" w:type="dxa"/>
            <w:shd w:val="clear" w:color="auto" w:fill="auto"/>
            <w:vAlign w:val="center"/>
          </w:tcPr>
          <w:p w14:paraId="22707327">
            <w:pPr>
              <w:pStyle w:val="29"/>
              <w:spacing w:line="360" w:lineRule="auto"/>
              <w:ind w:firstLine="0" w:firstLineChars="0"/>
              <w:jc w:val="center"/>
              <w:rPr>
                <w:rFonts w:hAnsi="Calibri"/>
                <w:sz w:val="24"/>
                <w:szCs w:val="24"/>
              </w:rPr>
            </w:pPr>
            <w:r>
              <w:rPr>
                <w:rFonts w:hAnsi="Calibri"/>
                <w:sz w:val="24"/>
                <w:szCs w:val="24"/>
              </w:rPr>
              <w:t>3</w:t>
            </w:r>
          </w:p>
        </w:tc>
        <w:tc>
          <w:tcPr>
            <w:tcW w:w="1469" w:type="dxa"/>
            <w:shd w:val="clear" w:color="auto" w:fill="auto"/>
            <w:vAlign w:val="center"/>
          </w:tcPr>
          <w:p w14:paraId="4EFE63A7">
            <w:pPr>
              <w:pStyle w:val="29"/>
              <w:spacing w:line="360" w:lineRule="auto"/>
              <w:ind w:firstLine="0" w:firstLineChars="0"/>
              <w:jc w:val="center"/>
              <w:rPr>
                <w:rFonts w:hAnsi="Calibri"/>
                <w:sz w:val="24"/>
                <w:szCs w:val="24"/>
              </w:rPr>
            </w:pPr>
            <w:r>
              <w:rPr>
                <w:rFonts w:hAnsi="Calibri"/>
                <w:sz w:val="24"/>
                <w:szCs w:val="24"/>
              </w:rPr>
              <w:t>4</w:t>
            </w:r>
          </w:p>
        </w:tc>
        <w:tc>
          <w:tcPr>
            <w:tcW w:w="1306" w:type="dxa"/>
            <w:shd w:val="clear" w:color="auto" w:fill="auto"/>
            <w:vAlign w:val="center"/>
          </w:tcPr>
          <w:p w14:paraId="1041D842">
            <w:pPr>
              <w:pStyle w:val="29"/>
              <w:spacing w:line="360" w:lineRule="auto"/>
              <w:ind w:firstLine="0" w:firstLineChars="0"/>
              <w:jc w:val="center"/>
              <w:rPr>
                <w:rFonts w:hAnsi="Calibri"/>
                <w:sz w:val="24"/>
                <w:szCs w:val="24"/>
              </w:rPr>
            </w:pPr>
            <w:r>
              <w:rPr>
                <w:rFonts w:hAnsi="Calibri"/>
                <w:sz w:val="24"/>
                <w:szCs w:val="24"/>
              </w:rPr>
              <w:t>5</w:t>
            </w:r>
          </w:p>
        </w:tc>
        <w:tc>
          <w:tcPr>
            <w:tcW w:w="1308" w:type="dxa"/>
            <w:shd w:val="clear" w:color="auto" w:fill="auto"/>
            <w:vAlign w:val="center"/>
          </w:tcPr>
          <w:p w14:paraId="4912269B">
            <w:pPr>
              <w:pStyle w:val="29"/>
              <w:spacing w:line="360" w:lineRule="auto"/>
              <w:ind w:firstLine="0" w:firstLineChars="0"/>
              <w:jc w:val="center"/>
              <w:rPr>
                <w:rFonts w:hAnsi="Calibri"/>
                <w:sz w:val="24"/>
                <w:szCs w:val="24"/>
              </w:rPr>
            </w:pPr>
            <w:r>
              <w:rPr>
                <w:rFonts w:hAnsi="Calibri"/>
                <w:sz w:val="24"/>
                <w:szCs w:val="24"/>
              </w:rPr>
              <w:t>6</w:t>
            </w:r>
          </w:p>
        </w:tc>
        <w:tc>
          <w:tcPr>
            <w:tcW w:w="2612" w:type="dxa"/>
            <w:vMerge w:val="continue"/>
            <w:shd w:val="clear" w:color="auto" w:fill="auto"/>
            <w:vAlign w:val="center"/>
          </w:tcPr>
          <w:p w14:paraId="585FDEDA">
            <w:pPr>
              <w:pStyle w:val="29"/>
              <w:spacing w:line="360" w:lineRule="auto"/>
              <w:ind w:firstLine="0" w:firstLineChars="0"/>
              <w:jc w:val="center"/>
              <w:rPr>
                <w:rFonts w:hAnsi="Calibri"/>
                <w:sz w:val="24"/>
                <w:szCs w:val="24"/>
              </w:rPr>
            </w:pPr>
          </w:p>
        </w:tc>
      </w:tr>
      <w:tr w14:paraId="250BDF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7" w:hRule="atLeast"/>
        </w:trPr>
        <w:tc>
          <w:tcPr>
            <w:tcW w:w="2775" w:type="dxa"/>
            <w:shd w:val="clear" w:color="auto" w:fill="auto"/>
            <w:vAlign w:val="center"/>
          </w:tcPr>
          <w:p w14:paraId="0752F786">
            <w:pPr>
              <w:pStyle w:val="29"/>
              <w:adjustRightInd w:val="0"/>
              <w:snapToGrid w:val="0"/>
              <w:ind w:firstLine="0" w:firstLineChars="0"/>
              <w:jc w:val="center"/>
              <w:rPr>
                <w:rFonts w:hint="default" w:hAnsi="Times New Roman" w:eastAsia="宋体"/>
                <w:sz w:val="24"/>
                <w:szCs w:val="24"/>
                <w:lang w:val="en-US" w:eastAsia="zh-CN"/>
              </w:rPr>
            </w:pPr>
            <w:r>
              <w:rPr>
                <w:rFonts w:hint="eastAsia"/>
                <w:sz w:val="24"/>
                <w:szCs w:val="24"/>
                <w:lang w:val="en-US" w:eastAsia="zh-CN"/>
              </w:rPr>
              <w:t>净味活性炭-1</w:t>
            </w:r>
          </w:p>
        </w:tc>
        <w:tc>
          <w:tcPr>
            <w:tcW w:w="1631" w:type="dxa"/>
            <w:shd w:val="clear" w:color="auto" w:fill="auto"/>
            <w:vAlign w:val="bottom"/>
          </w:tcPr>
          <w:p w14:paraId="14EE8D80">
            <w:pPr>
              <w:pStyle w:val="29"/>
              <w:spacing w:line="360" w:lineRule="auto"/>
              <w:ind w:firstLine="0" w:firstLineChars="0"/>
              <w:jc w:val="center"/>
              <w:rPr>
                <w:rFonts w:hAnsi="Calibri"/>
                <w:sz w:val="24"/>
                <w:szCs w:val="24"/>
              </w:rPr>
            </w:pPr>
            <w:r>
              <w:rPr>
                <w:rFonts w:hAnsi="Calibri"/>
                <w:sz w:val="24"/>
                <w:szCs w:val="24"/>
              </w:rPr>
              <w:t>2.0</w:t>
            </w:r>
          </w:p>
        </w:tc>
        <w:tc>
          <w:tcPr>
            <w:tcW w:w="1469" w:type="dxa"/>
            <w:shd w:val="clear" w:color="auto" w:fill="auto"/>
            <w:vAlign w:val="bottom"/>
          </w:tcPr>
          <w:p w14:paraId="1EB7155C">
            <w:pPr>
              <w:pStyle w:val="29"/>
              <w:spacing w:line="360" w:lineRule="auto"/>
              <w:ind w:firstLine="0" w:firstLineChars="0"/>
              <w:jc w:val="center"/>
              <w:rPr>
                <w:rFonts w:hAnsi="Calibri"/>
                <w:sz w:val="24"/>
                <w:szCs w:val="24"/>
              </w:rPr>
            </w:pPr>
            <w:r>
              <w:rPr>
                <w:rFonts w:hAnsi="Calibri"/>
                <w:sz w:val="24"/>
                <w:szCs w:val="24"/>
              </w:rPr>
              <w:t>1.5</w:t>
            </w:r>
          </w:p>
        </w:tc>
        <w:tc>
          <w:tcPr>
            <w:tcW w:w="1469" w:type="dxa"/>
            <w:shd w:val="clear" w:color="auto" w:fill="auto"/>
            <w:vAlign w:val="bottom"/>
          </w:tcPr>
          <w:p w14:paraId="70BB2430">
            <w:pPr>
              <w:pStyle w:val="29"/>
              <w:spacing w:line="360" w:lineRule="auto"/>
              <w:ind w:firstLine="0" w:firstLineChars="0"/>
              <w:jc w:val="center"/>
              <w:rPr>
                <w:rFonts w:hAnsi="Calibri"/>
                <w:sz w:val="24"/>
                <w:szCs w:val="24"/>
              </w:rPr>
            </w:pPr>
            <w:r>
              <w:rPr>
                <w:rFonts w:hAnsi="Calibri"/>
                <w:sz w:val="24"/>
                <w:szCs w:val="24"/>
              </w:rPr>
              <w:t>1.5</w:t>
            </w:r>
          </w:p>
        </w:tc>
        <w:tc>
          <w:tcPr>
            <w:tcW w:w="1469" w:type="dxa"/>
            <w:shd w:val="clear" w:color="auto" w:fill="auto"/>
            <w:vAlign w:val="bottom"/>
          </w:tcPr>
          <w:p w14:paraId="5668475D">
            <w:pPr>
              <w:pStyle w:val="29"/>
              <w:spacing w:line="360" w:lineRule="auto"/>
              <w:ind w:firstLine="0" w:firstLineChars="0"/>
              <w:jc w:val="center"/>
              <w:rPr>
                <w:rFonts w:hAnsi="Calibri"/>
                <w:sz w:val="24"/>
                <w:szCs w:val="24"/>
              </w:rPr>
            </w:pPr>
            <w:r>
              <w:rPr>
                <w:rFonts w:hAnsi="Calibri"/>
                <w:sz w:val="24"/>
                <w:szCs w:val="24"/>
              </w:rPr>
              <w:t>2.0</w:t>
            </w:r>
          </w:p>
        </w:tc>
        <w:tc>
          <w:tcPr>
            <w:tcW w:w="1306" w:type="dxa"/>
            <w:shd w:val="clear" w:color="auto" w:fill="auto"/>
            <w:vAlign w:val="bottom"/>
          </w:tcPr>
          <w:p w14:paraId="7986936C">
            <w:pPr>
              <w:pStyle w:val="29"/>
              <w:spacing w:line="360" w:lineRule="auto"/>
              <w:ind w:firstLine="0" w:firstLineChars="0"/>
              <w:jc w:val="center"/>
              <w:rPr>
                <w:rFonts w:hAnsi="Calibri"/>
                <w:sz w:val="24"/>
                <w:szCs w:val="24"/>
              </w:rPr>
            </w:pPr>
            <w:r>
              <w:rPr>
                <w:rFonts w:hAnsi="Calibri"/>
                <w:sz w:val="24"/>
                <w:szCs w:val="24"/>
              </w:rPr>
              <w:t>2.0</w:t>
            </w:r>
          </w:p>
        </w:tc>
        <w:tc>
          <w:tcPr>
            <w:tcW w:w="1308" w:type="dxa"/>
            <w:shd w:val="clear" w:color="auto" w:fill="auto"/>
            <w:vAlign w:val="bottom"/>
          </w:tcPr>
          <w:p w14:paraId="3AD291DE">
            <w:pPr>
              <w:pStyle w:val="29"/>
              <w:spacing w:line="360" w:lineRule="auto"/>
              <w:ind w:firstLine="0" w:firstLineChars="0"/>
              <w:jc w:val="center"/>
              <w:rPr>
                <w:rFonts w:hAnsi="Calibri"/>
                <w:sz w:val="24"/>
                <w:szCs w:val="24"/>
              </w:rPr>
            </w:pPr>
            <w:r>
              <w:rPr>
                <w:rFonts w:hAnsi="Calibri"/>
                <w:sz w:val="24"/>
                <w:szCs w:val="24"/>
              </w:rPr>
              <w:t>1.5</w:t>
            </w:r>
          </w:p>
        </w:tc>
        <w:tc>
          <w:tcPr>
            <w:tcW w:w="2612" w:type="dxa"/>
            <w:shd w:val="clear" w:color="auto" w:fill="auto"/>
            <w:vAlign w:val="bottom"/>
          </w:tcPr>
          <w:p w14:paraId="3B32C066">
            <w:pPr>
              <w:pStyle w:val="29"/>
              <w:spacing w:line="360" w:lineRule="auto"/>
              <w:ind w:firstLine="0" w:firstLineChars="0"/>
              <w:jc w:val="center"/>
              <w:rPr>
                <w:rFonts w:hAnsi="Calibri"/>
                <w:sz w:val="24"/>
                <w:szCs w:val="24"/>
              </w:rPr>
            </w:pPr>
            <w:r>
              <w:rPr>
                <w:rFonts w:hint="eastAsia" w:hAnsi="Calibri"/>
                <w:sz w:val="24"/>
                <w:szCs w:val="24"/>
              </w:rPr>
              <w:t xml:space="preserve">0.25 </w:t>
            </w:r>
          </w:p>
        </w:tc>
      </w:tr>
      <w:tr w14:paraId="6C6AA1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7" w:hRule="atLeast"/>
        </w:trPr>
        <w:tc>
          <w:tcPr>
            <w:tcW w:w="2775" w:type="dxa"/>
            <w:shd w:val="clear" w:color="auto" w:fill="auto"/>
            <w:vAlign w:val="center"/>
          </w:tcPr>
          <w:p w14:paraId="537F6333">
            <w:pPr>
              <w:pStyle w:val="29"/>
              <w:adjustRightInd w:val="0"/>
              <w:snapToGrid w:val="0"/>
              <w:ind w:firstLine="0" w:firstLineChars="0"/>
              <w:jc w:val="center"/>
              <w:rPr>
                <w:rFonts w:hAnsi="Times New Roman"/>
                <w:sz w:val="24"/>
                <w:szCs w:val="24"/>
              </w:rPr>
            </w:pPr>
            <w:r>
              <w:rPr>
                <w:rFonts w:hint="eastAsia"/>
                <w:sz w:val="24"/>
                <w:szCs w:val="24"/>
                <w:lang w:val="en-US" w:eastAsia="zh-CN"/>
              </w:rPr>
              <w:t>净味活性炭-2</w:t>
            </w:r>
          </w:p>
        </w:tc>
        <w:tc>
          <w:tcPr>
            <w:tcW w:w="1631" w:type="dxa"/>
            <w:shd w:val="clear" w:color="auto" w:fill="auto"/>
            <w:vAlign w:val="bottom"/>
          </w:tcPr>
          <w:p w14:paraId="590D7F08">
            <w:pPr>
              <w:pStyle w:val="29"/>
              <w:spacing w:line="360" w:lineRule="auto"/>
              <w:ind w:firstLine="0" w:firstLineChars="0"/>
              <w:jc w:val="center"/>
              <w:rPr>
                <w:rFonts w:hAnsi="Calibri"/>
                <w:sz w:val="24"/>
                <w:szCs w:val="24"/>
              </w:rPr>
            </w:pPr>
            <w:r>
              <w:rPr>
                <w:rFonts w:hAnsi="Calibri"/>
                <w:sz w:val="24"/>
                <w:szCs w:val="24"/>
              </w:rPr>
              <w:t>1.5</w:t>
            </w:r>
          </w:p>
        </w:tc>
        <w:tc>
          <w:tcPr>
            <w:tcW w:w="1469" w:type="dxa"/>
            <w:shd w:val="clear" w:color="auto" w:fill="auto"/>
            <w:vAlign w:val="bottom"/>
          </w:tcPr>
          <w:p w14:paraId="75CF3822">
            <w:pPr>
              <w:pStyle w:val="29"/>
              <w:spacing w:line="360" w:lineRule="auto"/>
              <w:ind w:firstLine="0" w:firstLineChars="0"/>
              <w:jc w:val="center"/>
              <w:rPr>
                <w:rFonts w:hAnsi="Calibri"/>
                <w:sz w:val="24"/>
                <w:szCs w:val="24"/>
              </w:rPr>
            </w:pPr>
            <w:r>
              <w:rPr>
                <w:rFonts w:hAnsi="Calibri"/>
                <w:sz w:val="24"/>
                <w:szCs w:val="24"/>
              </w:rPr>
              <w:t>1.0</w:t>
            </w:r>
          </w:p>
        </w:tc>
        <w:tc>
          <w:tcPr>
            <w:tcW w:w="1469" w:type="dxa"/>
            <w:shd w:val="clear" w:color="auto" w:fill="auto"/>
            <w:vAlign w:val="bottom"/>
          </w:tcPr>
          <w:p w14:paraId="29A97593">
            <w:pPr>
              <w:pStyle w:val="29"/>
              <w:spacing w:line="360" w:lineRule="auto"/>
              <w:ind w:firstLine="0" w:firstLineChars="0"/>
              <w:jc w:val="center"/>
              <w:rPr>
                <w:rFonts w:hAnsi="Calibri"/>
                <w:sz w:val="24"/>
                <w:szCs w:val="24"/>
              </w:rPr>
            </w:pPr>
            <w:r>
              <w:rPr>
                <w:rFonts w:hAnsi="Calibri"/>
                <w:sz w:val="24"/>
                <w:szCs w:val="24"/>
              </w:rPr>
              <w:t>2.0</w:t>
            </w:r>
          </w:p>
        </w:tc>
        <w:tc>
          <w:tcPr>
            <w:tcW w:w="1469" w:type="dxa"/>
            <w:shd w:val="clear" w:color="auto" w:fill="auto"/>
            <w:vAlign w:val="bottom"/>
          </w:tcPr>
          <w:p w14:paraId="651060BE">
            <w:pPr>
              <w:pStyle w:val="29"/>
              <w:spacing w:line="360" w:lineRule="auto"/>
              <w:ind w:firstLine="0" w:firstLineChars="0"/>
              <w:jc w:val="center"/>
              <w:rPr>
                <w:rFonts w:hAnsi="Calibri"/>
                <w:sz w:val="24"/>
                <w:szCs w:val="24"/>
              </w:rPr>
            </w:pPr>
            <w:r>
              <w:rPr>
                <w:rFonts w:hAnsi="Calibri"/>
                <w:sz w:val="24"/>
                <w:szCs w:val="24"/>
              </w:rPr>
              <w:t>1.5</w:t>
            </w:r>
          </w:p>
        </w:tc>
        <w:tc>
          <w:tcPr>
            <w:tcW w:w="1306" w:type="dxa"/>
            <w:shd w:val="clear" w:color="auto" w:fill="auto"/>
            <w:vAlign w:val="bottom"/>
          </w:tcPr>
          <w:p w14:paraId="405C38C8">
            <w:pPr>
              <w:pStyle w:val="29"/>
              <w:spacing w:line="360" w:lineRule="auto"/>
              <w:ind w:firstLine="0" w:firstLineChars="0"/>
              <w:jc w:val="center"/>
              <w:rPr>
                <w:rFonts w:hAnsi="Calibri"/>
                <w:sz w:val="24"/>
                <w:szCs w:val="24"/>
              </w:rPr>
            </w:pPr>
            <w:r>
              <w:rPr>
                <w:rFonts w:hAnsi="Calibri"/>
                <w:sz w:val="24"/>
                <w:szCs w:val="24"/>
              </w:rPr>
              <w:t>1.0</w:t>
            </w:r>
          </w:p>
        </w:tc>
        <w:tc>
          <w:tcPr>
            <w:tcW w:w="1308" w:type="dxa"/>
            <w:shd w:val="clear" w:color="auto" w:fill="auto"/>
            <w:vAlign w:val="bottom"/>
          </w:tcPr>
          <w:p w14:paraId="2CFB2FBE">
            <w:pPr>
              <w:pStyle w:val="29"/>
              <w:spacing w:line="360" w:lineRule="auto"/>
              <w:ind w:firstLine="0" w:firstLineChars="0"/>
              <w:jc w:val="center"/>
              <w:rPr>
                <w:rFonts w:hAnsi="Calibri"/>
                <w:sz w:val="24"/>
                <w:szCs w:val="24"/>
              </w:rPr>
            </w:pPr>
            <w:r>
              <w:rPr>
                <w:rFonts w:hAnsi="Calibri"/>
                <w:sz w:val="24"/>
                <w:szCs w:val="24"/>
              </w:rPr>
              <w:t>2.0</w:t>
            </w:r>
          </w:p>
        </w:tc>
        <w:tc>
          <w:tcPr>
            <w:tcW w:w="2612" w:type="dxa"/>
            <w:shd w:val="clear" w:color="auto" w:fill="auto"/>
            <w:vAlign w:val="bottom"/>
          </w:tcPr>
          <w:p w14:paraId="3B6352C2">
            <w:pPr>
              <w:pStyle w:val="29"/>
              <w:spacing w:line="360" w:lineRule="auto"/>
              <w:ind w:firstLine="0" w:firstLineChars="0"/>
              <w:jc w:val="center"/>
              <w:rPr>
                <w:rFonts w:hAnsi="Calibri"/>
                <w:sz w:val="24"/>
                <w:szCs w:val="24"/>
              </w:rPr>
            </w:pPr>
            <w:r>
              <w:rPr>
                <w:rFonts w:hint="eastAsia" w:hAnsi="Calibri"/>
                <w:sz w:val="24"/>
                <w:szCs w:val="24"/>
              </w:rPr>
              <w:t xml:space="preserve">0.41 </w:t>
            </w:r>
          </w:p>
        </w:tc>
      </w:tr>
      <w:tr w14:paraId="124AA1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7" w:hRule="atLeast"/>
        </w:trPr>
        <w:tc>
          <w:tcPr>
            <w:tcW w:w="2775" w:type="dxa"/>
            <w:shd w:val="clear" w:color="auto" w:fill="auto"/>
            <w:vAlign w:val="center"/>
          </w:tcPr>
          <w:p w14:paraId="51D33646">
            <w:pPr>
              <w:pStyle w:val="29"/>
              <w:adjustRightInd w:val="0"/>
              <w:snapToGrid w:val="0"/>
              <w:ind w:firstLine="0" w:firstLineChars="0"/>
              <w:jc w:val="center"/>
              <w:rPr>
                <w:rFonts w:hAnsi="Times New Roman"/>
                <w:sz w:val="24"/>
                <w:szCs w:val="24"/>
              </w:rPr>
            </w:pPr>
            <w:r>
              <w:rPr>
                <w:rFonts w:hint="eastAsia"/>
                <w:sz w:val="24"/>
                <w:szCs w:val="24"/>
                <w:lang w:val="en-US" w:eastAsia="zh-CN"/>
              </w:rPr>
              <w:t>复合型净化颗粒</w:t>
            </w:r>
            <w:r>
              <w:rPr>
                <w:rFonts w:hAnsi="Times New Roman"/>
                <w:sz w:val="24"/>
                <w:szCs w:val="24"/>
              </w:rPr>
              <w:t>-1</w:t>
            </w:r>
          </w:p>
        </w:tc>
        <w:tc>
          <w:tcPr>
            <w:tcW w:w="1631" w:type="dxa"/>
            <w:shd w:val="clear" w:color="auto" w:fill="auto"/>
            <w:vAlign w:val="bottom"/>
          </w:tcPr>
          <w:p w14:paraId="2ED5FD5D">
            <w:pPr>
              <w:pStyle w:val="29"/>
              <w:spacing w:line="360" w:lineRule="auto"/>
              <w:ind w:firstLine="0" w:firstLineChars="0"/>
              <w:jc w:val="center"/>
              <w:rPr>
                <w:rFonts w:hAnsi="Calibri"/>
                <w:sz w:val="24"/>
                <w:szCs w:val="24"/>
              </w:rPr>
            </w:pPr>
            <w:r>
              <w:rPr>
                <w:rFonts w:hAnsi="Calibri"/>
                <w:sz w:val="24"/>
                <w:szCs w:val="24"/>
              </w:rPr>
              <w:t>2.5</w:t>
            </w:r>
          </w:p>
        </w:tc>
        <w:tc>
          <w:tcPr>
            <w:tcW w:w="1469" w:type="dxa"/>
            <w:shd w:val="clear" w:color="auto" w:fill="auto"/>
            <w:vAlign w:val="bottom"/>
          </w:tcPr>
          <w:p w14:paraId="62659BC5">
            <w:pPr>
              <w:pStyle w:val="29"/>
              <w:spacing w:line="360" w:lineRule="auto"/>
              <w:ind w:firstLine="0" w:firstLineChars="0"/>
              <w:jc w:val="center"/>
              <w:rPr>
                <w:rFonts w:hAnsi="Calibri"/>
                <w:sz w:val="24"/>
                <w:szCs w:val="24"/>
              </w:rPr>
            </w:pPr>
            <w:r>
              <w:rPr>
                <w:rFonts w:hAnsi="Calibri"/>
                <w:sz w:val="24"/>
                <w:szCs w:val="24"/>
              </w:rPr>
              <w:t>3.0</w:t>
            </w:r>
          </w:p>
        </w:tc>
        <w:tc>
          <w:tcPr>
            <w:tcW w:w="1469" w:type="dxa"/>
            <w:shd w:val="clear" w:color="auto" w:fill="auto"/>
            <w:vAlign w:val="bottom"/>
          </w:tcPr>
          <w:p w14:paraId="6F15BD3D">
            <w:pPr>
              <w:pStyle w:val="29"/>
              <w:spacing w:line="360" w:lineRule="auto"/>
              <w:ind w:firstLine="0" w:firstLineChars="0"/>
              <w:jc w:val="center"/>
              <w:rPr>
                <w:rFonts w:hAnsi="Calibri"/>
                <w:sz w:val="24"/>
                <w:szCs w:val="24"/>
              </w:rPr>
            </w:pPr>
            <w:r>
              <w:rPr>
                <w:rFonts w:hAnsi="Calibri"/>
                <w:sz w:val="24"/>
                <w:szCs w:val="24"/>
              </w:rPr>
              <w:t>2.0</w:t>
            </w:r>
          </w:p>
        </w:tc>
        <w:tc>
          <w:tcPr>
            <w:tcW w:w="1469" w:type="dxa"/>
            <w:shd w:val="clear" w:color="auto" w:fill="auto"/>
            <w:vAlign w:val="bottom"/>
          </w:tcPr>
          <w:p w14:paraId="3009C3D9">
            <w:pPr>
              <w:pStyle w:val="29"/>
              <w:spacing w:line="360" w:lineRule="auto"/>
              <w:ind w:firstLine="0" w:firstLineChars="0"/>
              <w:jc w:val="center"/>
              <w:rPr>
                <w:rFonts w:hAnsi="Calibri"/>
                <w:sz w:val="24"/>
                <w:szCs w:val="24"/>
              </w:rPr>
            </w:pPr>
            <w:r>
              <w:rPr>
                <w:rFonts w:hAnsi="Calibri"/>
                <w:sz w:val="24"/>
                <w:szCs w:val="24"/>
              </w:rPr>
              <w:t>2.5</w:t>
            </w:r>
          </w:p>
        </w:tc>
        <w:tc>
          <w:tcPr>
            <w:tcW w:w="1306" w:type="dxa"/>
            <w:shd w:val="clear" w:color="auto" w:fill="auto"/>
            <w:vAlign w:val="bottom"/>
          </w:tcPr>
          <w:p w14:paraId="01AB2AE3">
            <w:pPr>
              <w:pStyle w:val="29"/>
              <w:spacing w:line="360" w:lineRule="auto"/>
              <w:ind w:firstLine="0" w:firstLineChars="0"/>
              <w:jc w:val="center"/>
              <w:rPr>
                <w:rFonts w:hAnsi="Calibri"/>
                <w:sz w:val="24"/>
                <w:szCs w:val="24"/>
              </w:rPr>
            </w:pPr>
            <w:r>
              <w:rPr>
                <w:rFonts w:hAnsi="Calibri"/>
                <w:sz w:val="24"/>
                <w:szCs w:val="24"/>
              </w:rPr>
              <w:t>3.0</w:t>
            </w:r>
          </w:p>
        </w:tc>
        <w:tc>
          <w:tcPr>
            <w:tcW w:w="1308" w:type="dxa"/>
            <w:shd w:val="clear" w:color="auto" w:fill="auto"/>
            <w:vAlign w:val="bottom"/>
          </w:tcPr>
          <w:p w14:paraId="1E98EBC8">
            <w:pPr>
              <w:pStyle w:val="29"/>
              <w:spacing w:line="360" w:lineRule="auto"/>
              <w:ind w:firstLine="0" w:firstLineChars="0"/>
              <w:jc w:val="center"/>
              <w:rPr>
                <w:rFonts w:hAnsi="Calibri"/>
                <w:sz w:val="24"/>
                <w:szCs w:val="24"/>
              </w:rPr>
            </w:pPr>
            <w:r>
              <w:rPr>
                <w:rFonts w:hAnsi="Calibri"/>
                <w:sz w:val="24"/>
                <w:szCs w:val="24"/>
              </w:rPr>
              <w:t>2.0</w:t>
            </w:r>
          </w:p>
        </w:tc>
        <w:tc>
          <w:tcPr>
            <w:tcW w:w="2612" w:type="dxa"/>
            <w:shd w:val="clear" w:color="auto" w:fill="auto"/>
            <w:vAlign w:val="bottom"/>
          </w:tcPr>
          <w:p w14:paraId="6B9A1CAA">
            <w:pPr>
              <w:pStyle w:val="29"/>
              <w:spacing w:line="360" w:lineRule="auto"/>
              <w:ind w:firstLine="0" w:firstLineChars="0"/>
              <w:jc w:val="center"/>
              <w:rPr>
                <w:rFonts w:hAnsi="Calibri"/>
                <w:sz w:val="24"/>
                <w:szCs w:val="24"/>
              </w:rPr>
            </w:pPr>
            <w:r>
              <w:rPr>
                <w:rFonts w:hint="eastAsia" w:hAnsi="Calibri"/>
                <w:sz w:val="24"/>
                <w:szCs w:val="24"/>
              </w:rPr>
              <w:t xml:space="preserve">0.41 </w:t>
            </w:r>
          </w:p>
        </w:tc>
      </w:tr>
      <w:tr w14:paraId="12C1E9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7" w:hRule="atLeast"/>
        </w:trPr>
        <w:tc>
          <w:tcPr>
            <w:tcW w:w="2775" w:type="dxa"/>
            <w:shd w:val="clear" w:color="auto" w:fill="auto"/>
            <w:vAlign w:val="center"/>
          </w:tcPr>
          <w:p w14:paraId="542CA75B">
            <w:pPr>
              <w:pStyle w:val="29"/>
              <w:adjustRightInd w:val="0"/>
              <w:snapToGrid w:val="0"/>
              <w:ind w:firstLine="0" w:firstLineChars="0"/>
              <w:jc w:val="center"/>
              <w:rPr>
                <w:rFonts w:hint="eastAsia" w:hAnsi="Times New Roman" w:eastAsia="宋体"/>
                <w:sz w:val="24"/>
                <w:szCs w:val="24"/>
                <w:lang w:eastAsia="zh-CN"/>
              </w:rPr>
            </w:pPr>
            <w:r>
              <w:rPr>
                <w:rFonts w:hint="eastAsia"/>
                <w:sz w:val="24"/>
                <w:szCs w:val="24"/>
                <w:lang w:val="en-US" w:eastAsia="zh-CN"/>
              </w:rPr>
              <w:t>复合型净化颗粒</w:t>
            </w:r>
            <w:r>
              <w:rPr>
                <w:rFonts w:hAnsi="Times New Roman"/>
                <w:sz w:val="24"/>
                <w:szCs w:val="24"/>
              </w:rPr>
              <w:t>-</w:t>
            </w:r>
            <w:r>
              <w:rPr>
                <w:rFonts w:hint="eastAsia"/>
                <w:sz w:val="24"/>
                <w:szCs w:val="24"/>
                <w:lang w:val="en-US" w:eastAsia="zh-CN"/>
              </w:rPr>
              <w:t>2</w:t>
            </w:r>
          </w:p>
        </w:tc>
        <w:tc>
          <w:tcPr>
            <w:tcW w:w="1631" w:type="dxa"/>
            <w:shd w:val="clear" w:color="auto" w:fill="auto"/>
            <w:vAlign w:val="bottom"/>
          </w:tcPr>
          <w:p w14:paraId="501D2F04">
            <w:pPr>
              <w:pStyle w:val="29"/>
              <w:spacing w:line="360" w:lineRule="auto"/>
              <w:ind w:firstLine="0" w:firstLineChars="0"/>
              <w:jc w:val="center"/>
              <w:rPr>
                <w:rFonts w:hint="eastAsia" w:hAnsi="Calibri" w:eastAsia="宋体"/>
                <w:sz w:val="24"/>
                <w:szCs w:val="24"/>
                <w:lang w:eastAsia="zh-CN"/>
              </w:rPr>
            </w:pPr>
            <w:r>
              <w:rPr>
                <w:rFonts w:hAnsi="Calibri"/>
                <w:sz w:val="24"/>
                <w:szCs w:val="24"/>
              </w:rPr>
              <w:t>3.</w:t>
            </w:r>
            <w:r>
              <w:rPr>
                <w:rFonts w:hint="eastAsia" w:hAnsi="Calibri"/>
                <w:sz w:val="24"/>
                <w:szCs w:val="24"/>
                <w:lang w:val="en-US" w:eastAsia="zh-CN"/>
              </w:rPr>
              <w:t>0</w:t>
            </w:r>
          </w:p>
        </w:tc>
        <w:tc>
          <w:tcPr>
            <w:tcW w:w="1469" w:type="dxa"/>
            <w:shd w:val="clear" w:color="auto" w:fill="auto"/>
            <w:vAlign w:val="bottom"/>
          </w:tcPr>
          <w:p w14:paraId="0AA187F2">
            <w:pPr>
              <w:pStyle w:val="29"/>
              <w:spacing w:line="360" w:lineRule="auto"/>
              <w:ind w:firstLine="0" w:firstLineChars="0"/>
              <w:jc w:val="center"/>
              <w:rPr>
                <w:rFonts w:hAnsi="Calibri"/>
                <w:sz w:val="24"/>
                <w:szCs w:val="24"/>
              </w:rPr>
            </w:pPr>
            <w:r>
              <w:rPr>
                <w:rFonts w:hAnsi="Calibri"/>
                <w:sz w:val="24"/>
                <w:szCs w:val="24"/>
              </w:rPr>
              <w:t>2.5</w:t>
            </w:r>
          </w:p>
        </w:tc>
        <w:tc>
          <w:tcPr>
            <w:tcW w:w="1469" w:type="dxa"/>
            <w:shd w:val="clear" w:color="auto" w:fill="auto"/>
            <w:vAlign w:val="bottom"/>
          </w:tcPr>
          <w:p w14:paraId="71E8FA12">
            <w:pPr>
              <w:pStyle w:val="29"/>
              <w:spacing w:line="360" w:lineRule="auto"/>
              <w:ind w:firstLine="0" w:firstLineChars="0"/>
              <w:jc w:val="center"/>
              <w:rPr>
                <w:rFonts w:hAnsi="Calibri"/>
                <w:sz w:val="24"/>
                <w:szCs w:val="24"/>
              </w:rPr>
            </w:pPr>
            <w:r>
              <w:rPr>
                <w:rFonts w:hAnsi="Calibri"/>
                <w:sz w:val="24"/>
                <w:szCs w:val="24"/>
              </w:rPr>
              <w:t>3.0</w:t>
            </w:r>
          </w:p>
        </w:tc>
        <w:tc>
          <w:tcPr>
            <w:tcW w:w="1469" w:type="dxa"/>
            <w:shd w:val="clear" w:color="auto" w:fill="auto"/>
            <w:vAlign w:val="bottom"/>
          </w:tcPr>
          <w:p w14:paraId="11CE765C">
            <w:pPr>
              <w:pStyle w:val="29"/>
              <w:spacing w:line="360" w:lineRule="auto"/>
              <w:ind w:firstLine="0" w:firstLineChars="0"/>
              <w:jc w:val="center"/>
              <w:rPr>
                <w:rFonts w:hAnsi="Calibri"/>
                <w:sz w:val="24"/>
                <w:szCs w:val="24"/>
              </w:rPr>
            </w:pPr>
            <w:r>
              <w:rPr>
                <w:rFonts w:hAnsi="Calibri"/>
                <w:sz w:val="24"/>
                <w:szCs w:val="24"/>
              </w:rPr>
              <w:t>3.0</w:t>
            </w:r>
          </w:p>
        </w:tc>
        <w:tc>
          <w:tcPr>
            <w:tcW w:w="1306" w:type="dxa"/>
            <w:shd w:val="clear" w:color="auto" w:fill="auto"/>
            <w:vAlign w:val="bottom"/>
          </w:tcPr>
          <w:p w14:paraId="389F579A">
            <w:pPr>
              <w:pStyle w:val="29"/>
              <w:spacing w:line="360" w:lineRule="auto"/>
              <w:ind w:firstLine="0" w:firstLineChars="0"/>
              <w:jc w:val="center"/>
              <w:rPr>
                <w:rFonts w:hAnsi="Calibri"/>
                <w:sz w:val="24"/>
                <w:szCs w:val="24"/>
              </w:rPr>
            </w:pPr>
            <w:r>
              <w:rPr>
                <w:rFonts w:hAnsi="Calibri"/>
                <w:sz w:val="24"/>
                <w:szCs w:val="24"/>
              </w:rPr>
              <w:t>2.5</w:t>
            </w:r>
          </w:p>
        </w:tc>
        <w:tc>
          <w:tcPr>
            <w:tcW w:w="1308" w:type="dxa"/>
            <w:shd w:val="clear" w:color="auto" w:fill="auto"/>
            <w:vAlign w:val="bottom"/>
          </w:tcPr>
          <w:p w14:paraId="53F080EA">
            <w:pPr>
              <w:pStyle w:val="29"/>
              <w:spacing w:line="360" w:lineRule="auto"/>
              <w:ind w:firstLine="0" w:firstLineChars="0"/>
              <w:jc w:val="center"/>
              <w:rPr>
                <w:rFonts w:hAnsi="Calibri"/>
                <w:sz w:val="24"/>
                <w:szCs w:val="24"/>
              </w:rPr>
            </w:pPr>
            <w:r>
              <w:rPr>
                <w:rFonts w:hAnsi="Calibri"/>
                <w:sz w:val="24"/>
                <w:szCs w:val="24"/>
              </w:rPr>
              <w:t>3.5</w:t>
            </w:r>
          </w:p>
        </w:tc>
        <w:tc>
          <w:tcPr>
            <w:tcW w:w="2612" w:type="dxa"/>
            <w:shd w:val="clear" w:color="auto" w:fill="auto"/>
            <w:vAlign w:val="bottom"/>
          </w:tcPr>
          <w:p w14:paraId="4C8E8645">
            <w:pPr>
              <w:pStyle w:val="29"/>
              <w:spacing w:line="360" w:lineRule="auto"/>
              <w:ind w:firstLine="0" w:firstLineChars="0"/>
              <w:jc w:val="center"/>
              <w:rPr>
                <w:rFonts w:hint="default" w:hAnsi="Calibri" w:eastAsia="宋体"/>
                <w:sz w:val="24"/>
                <w:szCs w:val="24"/>
                <w:lang w:val="en-US" w:eastAsia="zh-CN"/>
              </w:rPr>
            </w:pPr>
            <w:r>
              <w:rPr>
                <w:rFonts w:hint="eastAsia" w:hAnsi="Calibri"/>
                <w:sz w:val="24"/>
                <w:szCs w:val="24"/>
                <w:lang w:val="en-US" w:eastAsia="zh-CN"/>
              </w:rPr>
              <w:t>0.24</w:t>
            </w:r>
          </w:p>
        </w:tc>
      </w:tr>
      <w:tr w14:paraId="0DBA59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7" w:hRule="atLeast"/>
        </w:trPr>
        <w:tc>
          <w:tcPr>
            <w:tcW w:w="2775" w:type="dxa"/>
            <w:shd w:val="clear" w:color="auto" w:fill="auto"/>
            <w:vAlign w:val="center"/>
          </w:tcPr>
          <w:p w14:paraId="341B0A3D">
            <w:pPr>
              <w:pStyle w:val="29"/>
              <w:adjustRightInd w:val="0"/>
              <w:snapToGrid w:val="0"/>
              <w:ind w:firstLine="0" w:firstLineChars="0"/>
              <w:jc w:val="center"/>
              <w:rPr>
                <w:rFonts w:hint="default" w:hAnsi="Times New Roman" w:eastAsia="宋体"/>
                <w:sz w:val="24"/>
                <w:szCs w:val="24"/>
                <w:lang w:val="en-US" w:eastAsia="zh-CN"/>
              </w:rPr>
            </w:pPr>
            <w:r>
              <w:rPr>
                <w:rFonts w:hint="eastAsia" w:hAnsi="Calibri"/>
                <w:sz w:val="24"/>
                <w:szCs w:val="24"/>
                <w:lang w:val="en-US" w:eastAsia="zh-CN"/>
              </w:rPr>
              <w:t>喷剂-1</w:t>
            </w:r>
          </w:p>
        </w:tc>
        <w:tc>
          <w:tcPr>
            <w:tcW w:w="1631" w:type="dxa"/>
            <w:shd w:val="clear" w:color="auto" w:fill="auto"/>
            <w:vAlign w:val="bottom"/>
          </w:tcPr>
          <w:p w14:paraId="0C64840E">
            <w:pPr>
              <w:pStyle w:val="29"/>
              <w:spacing w:line="360" w:lineRule="auto"/>
              <w:ind w:firstLine="0" w:firstLineChars="0"/>
              <w:jc w:val="center"/>
              <w:rPr>
                <w:rFonts w:hAnsi="Calibri"/>
                <w:sz w:val="24"/>
                <w:szCs w:val="24"/>
              </w:rPr>
            </w:pPr>
            <w:r>
              <w:rPr>
                <w:rFonts w:hint="eastAsia" w:hAnsi="Calibri"/>
                <w:sz w:val="24"/>
                <w:szCs w:val="24"/>
                <w:lang w:val="en-US" w:eastAsia="zh-CN"/>
              </w:rPr>
              <w:t>1</w:t>
            </w:r>
            <w:r>
              <w:rPr>
                <w:rFonts w:hAnsi="Calibri"/>
                <w:sz w:val="24"/>
                <w:szCs w:val="24"/>
              </w:rPr>
              <w:t>.5</w:t>
            </w:r>
          </w:p>
        </w:tc>
        <w:tc>
          <w:tcPr>
            <w:tcW w:w="1469" w:type="dxa"/>
            <w:shd w:val="clear" w:color="auto" w:fill="auto"/>
            <w:vAlign w:val="bottom"/>
          </w:tcPr>
          <w:p w14:paraId="072AC1EA">
            <w:pPr>
              <w:pStyle w:val="29"/>
              <w:spacing w:line="360" w:lineRule="auto"/>
              <w:ind w:firstLine="0" w:firstLineChars="0"/>
              <w:jc w:val="center"/>
              <w:rPr>
                <w:rFonts w:hAnsi="Calibri"/>
                <w:sz w:val="24"/>
                <w:szCs w:val="24"/>
              </w:rPr>
            </w:pPr>
            <w:r>
              <w:rPr>
                <w:rFonts w:hint="eastAsia" w:hAnsi="Calibri"/>
                <w:sz w:val="24"/>
                <w:szCs w:val="24"/>
                <w:lang w:val="en-US" w:eastAsia="zh-CN"/>
              </w:rPr>
              <w:t>1</w:t>
            </w:r>
            <w:r>
              <w:rPr>
                <w:rFonts w:hAnsi="Calibri"/>
                <w:sz w:val="24"/>
                <w:szCs w:val="24"/>
              </w:rPr>
              <w:t>.5</w:t>
            </w:r>
          </w:p>
        </w:tc>
        <w:tc>
          <w:tcPr>
            <w:tcW w:w="1469" w:type="dxa"/>
            <w:shd w:val="clear" w:color="auto" w:fill="auto"/>
            <w:vAlign w:val="bottom"/>
          </w:tcPr>
          <w:p w14:paraId="0E5DE3A9">
            <w:pPr>
              <w:pStyle w:val="29"/>
              <w:spacing w:line="360" w:lineRule="auto"/>
              <w:ind w:firstLine="0" w:firstLineChars="0"/>
              <w:jc w:val="center"/>
              <w:rPr>
                <w:rFonts w:hAnsi="Calibri"/>
                <w:sz w:val="24"/>
                <w:szCs w:val="24"/>
              </w:rPr>
            </w:pPr>
            <w:r>
              <w:rPr>
                <w:rFonts w:hint="eastAsia" w:hAnsi="Calibri"/>
                <w:sz w:val="24"/>
                <w:szCs w:val="24"/>
                <w:lang w:val="en-US" w:eastAsia="zh-CN"/>
              </w:rPr>
              <w:t>2</w:t>
            </w:r>
            <w:r>
              <w:rPr>
                <w:rFonts w:hAnsi="Calibri"/>
                <w:sz w:val="24"/>
                <w:szCs w:val="24"/>
              </w:rPr>
              <w:t>.0</w:t>
            </w:r>
          </w:p>
        </w:tc>
        <w:tc>
          <w:tcPr>
            <w:tcW w:w="1469" w:type="dxa"/>
            <w:shd w:val="clear" w:color="auto" w:fill="auto"/>
            <w:vAlign w:val="bottom"/>
          </w:tcPr>
          <w:p w14:paraId="42F37FF8">
            <w:pPr>
              <w:pStyle w:val="29"/>
              <w:spacing w:line="360" w:lineRule="auto"/>
              <w:ind w:firstLine="0" w:firstLineChars="0"/>
              <w:jc w:val="center"/>
              <w:rPr>
                <w:rFonts w:hAnsi="Calibri"/>
                <w:sz w:val="24"/>
                <w:szCs w:val="24"/>
              </w:rPr>
            </w:pPr>
            <w:r>
              <w:rPr>
                <w:rFonts w:hint="eastAsia" w:hAnsi="Calibri"/>
                <w:sz w:val="24"/>
                <w:szCs w:val="24"/>
                <w:lang w:val="en-US" w:eastAsia="zh-CN"/>
              </w:rPr>
              <w:t>1</w:t>
            </w:r>
            <w:r>
              <w:rPr>
                <w:rFonts w:hAnsi="Calibri"/>
                <w:sz w:val="24"/>
                <w:szCs w:val="24"/>
              </w:rPr>
              <w:t>.5</w:t>
            </w:r>
          </w:p>
        </w:tc>
        <w:tc>
          <w:tcPr>
            <w:tcW w:w="1306" w:type="dxa"/>
            <w:shd w:val="clear" w:color="auto" w:fill="auto"/>
            <w:vAlign w:val="bottom"/>
          </w:tcPr>
          <w:p w14:paraId="12812211">
            <w:pPr>
              <w:pStyle w:val="29"/>
              <w:spacing w:line="360" w:lineRule="auto"/>
              <w:ind w:firstLine="0" w:firstLineChars="0"/>
              <w:jc w:val="center"/>
              <w:rPr>
                <w:rFonts w:hAnsi="Calibri"/>
                <w:sz w:val="24"/>
                <w:szCs w:val="24"/>
              </w:rPr>
            </w:pPr>
            <w:r>
              <w:rPr>
                <w:rFonts w:hint="eastAsia" w:hAnsi="Calibri"/>
                <w:sz w:val="24"/>
                <w:szCs w:val="24"/>
                <w:lang w:val="en-US" w:eastAsia="zh-CN"/>
              </w:rPr>
              <w:t>2</w:t>
            </w:r>
            <w:r>
              <w:rPr>
                <w:rFonts w:hAnsi="Calibri"/>
                <w:sz w:val="24"/>
                <w:szCs w:val="24"/>
              </w:rPr>
              <w:t>.0</w:t>
            </w:r>
          </w:p>
        </w:tc>
        <w:tc>
          <w:tcPr>
            <w:tcW w:w="1308" w:type="dxa"/>
            <w:shd w:val="clear" w:color="auto" w:fill="auto"/>
            <w:vAlign w:val="bottom"/>
          </w:tcPr>
          <w:p w14:paraId="7F0498E6">
            <w:pPr>
              <w:pStyle w:val="29"/>
              <w:spacing w:line="360" w:lineRule="auto"/>
              <w:ind w:firstLine="0" w:firstLineChars="0"/>
              <w:jc w:val="center"/>
              <w:rPr>
                <w:rFonts w:hAnsi="Calibri"/>
                <w:sz w:val="24"/>
                <w:szCs w:val="24"/>
              </w:rPr>
            </w:pPr>
            <w:r>
              <w:rPr>
                <w:rFonts w:hint="eastAsia" w:hAnsi="Calibri"/>
                <w:sz w:val="24"/>
                <w:szCs w:val="24"/>
                <w:lang w:val="en-US" w:eastAsia="zh-CN"/>
              </w:rPr>
              <w:t>1</w:t>
            </w:r>
            <w:r>
              <w:rPr>
                <w:rFonts w:hAnsi="Calibri"/>
                <w:sz w:val="24"/>
                <w:szCs w:val="24"/>
              </w:rPr>
              <w:t>.5</w:t>
            </w:r>
          </w:p>
        </w:tc>
        <w:tc>
          <w:tcPr>
            <w:tcW w:w="2612" w:type="dxa"/>
            <w:shd w:val="clear" w:color="auto" w:fill="auto"/>
            <w:vAlign w:val="bottom"/>
          </w:tcPr>
          <w:p w14:paraId="6E6AAEA1">
            <w:pPr>
              <w:pStyle w:val="29"/>
              <w:spacing w:line="360" w:lineRule="auto"/>
              <w:ind w:firstLine="0" w:firstLineChars="0"/>
              <w:jc w:val="center"/>
              <w:rPr>
                <w:rFonts w:hAnsi="Calibri"/>
                <w:sz w:val="24"/>
                <w:szCs w:val="24"/>
              </w:rPr>
            </w:pPr>
            <w:r>
              <w:rPr>
                <w:rFonts w:hint="eastAsia" w:hAnsi="Calibri"/>
                <w:sz w:val="24"/>
                <w:szCs w:val="24"/>
              </w:rPr>
              <w:t xml:space="preserve">0.24 </w:t>
            </w:r>
          </w:p>
        </w:tc>
      </w:tr>
      <w:tr w14:paraId="441186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7" w:hRule="atLeast"/>
        </w:trPr>
        <w:tc>
          <w:tcPr>
            <w:tcW w:w="2775" w:type="dxa"/>
            <w:shd w:val="clear" w:color="auto" w:fill="auto"/>
            <w:vAlign w:val="center"/>
          </w:tcPr>
          <w:p w14:paraId="40F891E9">
            <w:pPr>
              <w:pStyle w:val="29"/>
              <w:adjustRightInd w:val="0"/>
              <w:snapToGrid w:val="0"/>
              <w:ind w:firstLine="0" w:firstLineChars="0"/>
              <w:jc w:val="center"/>
              <w:rPr>
                <w:rFonts w:hAnsi="Times New Roman"/>
                <w:sz w:val="24"/>
                <w:szCs w:val="24"/>
              </w:rPr>
            </w:pPr>
            <w:r>
              <w:rPr>
                <w:rFonts w:hint="eastAsia" w:hAnsi="Calibri"/>
                <w:sz w:val="24"/>
                <w:szCs w:val="24"/>
                <w:lang w:val="en-US" w:eastAsia="zh-CN"/>
              </w:rPr>
              <w:t>喷剂-2</w:t>
            </w:r>
          </w:p>
        </w:tc>
        <w:tc>
          <w:tcPr>
            <w:tcW w:w="1631" w:type="dxa"/>
            <w:shd w:val="clear" w:color="auto" w:fill="auto"/>
            <w:vAlign w:val="bottom"/>
          </w:tcPr>
          <w:p w14:paraId="1B026739">
            <w:pPr>
              <w:pStyle w:val="29"/>
              <w:spacing w:line="360" w:lineRule="auto"/>
              <w:ind w:firstLine="0" w:firstLineChars="0"/>
              <w:jc w:val="center"/>
              <w:rPr>
                <w:rFonts w:hAnsi="Calibri"/>
                <w:sz w:val="24"/>
                <w:szCs w:val="24"/>
              </w:rPr>
            </w:pPr>
            <w:r>
              <w:rPr>
                <w:rFonts w:hint="eastAsia" w:hAnsi="Calibri"/>
                <w:sz w:val="24"/>
                <w:szCs w:val="24"/>
                <w:lang w:val="en-US" w:eastAsia="zh-CN"/>
              </w:rPr>
              <w:t>2</w:t>
            </w:r>
            <w:r>
              <w:rPr>
                <w:rFonts w:hAnsi="Calibri"/>
                <w:sz w:val="24"/>
                <w:szCs w:val="24"/>
              </w:rPr>
              <w:t>.0</w:t>
            </w:r>
          </w:p>
        </w:tc>
        <w:tc>
          <w:tcPr>
            <w:tcW w:w="1469" w:type="dxa"/>
            <w:shd w:val="clear" w:color="auto" w:fill="auto"/>
            <w:vAlign w:val="bottom"/>
          </w:tcPr>
          <w:p w14:paraId="463EA570">
            <w:pPr>
              <w:pStyle w:val="29"/>
              <w:spacing w:line="360" w:lineRule="auto"/>
              <w:ind w:firstLine="0" w:firstLineChars="0"/>
              <w:jc w:val="center"/>
              <w:rPr>
                <w:rFonts w:hAnsi="Calibri"/>
                <w:sz w:val="24"/>
                <w:szCs w:val="24"/>
              </w:rPr>
            </w:pPr>
            <w:r>
              <w:rPr>
                <w:rFonts w:hint="eastAsia" w:hAnsi="Calibri"/>
                <w:sz w:val="24"/>
                <w:szCs w:val="24"/>
                <w:lang w:val="en-US" w:eastAsia="zh-CN"/>
              </w:rPr>
              <w:t>1</w:t>
            </w:r>
            <w:r>
              <w:rPr>
                <w:rFonts w:hAnsi="Calibri"/>
                <w:sz w:val="24"/>
                <w:szCs w:val="24"/>
              </w:rPr>
              <w:t>.5</w:t>
            </w:r>
          </w:p>
        </w:tc>
        <w:tc>
          <w:tcPr>
            <w:tcW w:w="1469" w:type="dxa"/>
            <w:shd w:val="clear" w:color="auto" w:fill="auto"/>
            <w:vAlign w:val="bottom"/>
          </w:tcPr>
          <w:p w14:paraId="6C5D8836">
            <w:pPr>
              <w:pStyle w:val="29"/>
              <w:spacing w:line="360" w:lineRule="auto"/>
              <w:ind w:firstLine="0" w:firstLineChars="0"/>
              <w:jc w:val="center"/>
              <w:rPr>
                <w:rFonts w:hAnsi="Calibri"/>
                <w:sz w:val="24"/>
                <w:szCs w:val="24"/>
              </w:rPr>
            </w:pPr>
            <w:r>
              <w:rPr>
                <w:rFonts w:hint="eastAsia" w:hAnsi="Calibri"/>
                <w:sz w:val="24"/>
                <w:szCs w:val="24"/>
                <w:lang w:val="en-US" w:eastAsia="zh-CN"/>
              </w:rPr>
              <w:t>1</w:t>
            </w:r>
            <w:r>
              <w:rPr>
                <w:rFonts w:hAnsi="Calibri"/>
                <w:sz w:val="24"/>
                <w:szCs w:val="24"/>
              </w:rPr>
              <w:t>.5</w:t>
            </w:r>
          </w:p>
        </w:tc>
        <w:tc>
          <w:tcPr>
            <w:tcW w:w="1469" w:type="dxa"/>
            <w:shd w:val="clear" w:color="auto" w:fill="auto"/>
            <w:vAlign w:val="bottom"/>
          </w:tcPr>
          <w:p w14:paraId="5B3F673E">
            <w:pPr>
              <w:pStyle w:val="29"/>
              <w:spacing w:line="360" w:lineRule="auto"/>
              <w:ind w:firstLine="0" w:firstLineChars="0"/>
              <w:jc w:val="center"/>
              <w:rPr>
                <w:rFonts w:hAnsi="Calibri"/>
                <w:sz w:val="24"/>
                <w:szCs w:val="24"/>
              </w:rPr>
            </w:pPr>
            <w:r>
              <w:rPr>
                <w:rFonts w:hint="eastAsia" w:hAnsi="Calibri"/>
                <w:sz w:val="24"/>
                <w:szCs w:val="24"/>
                <w:lang w:val="en-US" w:eastAsia="zh-CN"/>
              </w:rPr>
              <w:t>1</w:t>
            </w:r>
            <w:r>
              <w:rPr>
                <w:rFonts w:hAnsi="Calibri"/>
                <w:sz w:val="24"/>
                <w:szCs w:val="24"/>
              </w:rPr>
              <w:t>.5</w:t>
            </w:r>
          </w:p>
        </w:tc>
        <w:tc>
          <w:tcPr>
            <w:tcW w:w="1306" w:type="dxa"/>
            <w:shd w:val="clear" w:color="auto" w:fill="auto"/>
            <w:vAlign w:val="bottom"/>
          </w:tcPr>
          <w:p w14:paraId="2A689775">
            <w:pPr>
              <w:pStyle w:val="29"/>
              <w:spacing w:line="360" w:lineRule="auto"/>
              <w:ind w:firstLine="0" w:firstLineChars="0"/>
              <w:jc w:val="center"/>
              <w:rPr>
                <w:rFonts w:hAnsi="Calibri"/>
                <w:sz w:val="24"/>
                <w:szCs w:val="24"/>
              </w:rPr>
            </w:pPr>
            <w:r>
              <w:rPr>
                <w:rFonts w:hint="eastAsia" w:hAnsi="Calibri"/>
                <w:sz w:val="24"/>
                <w:szCs w:val="24"/>
                <w:lang w:val="en-US" w:eastAsia="zh-CN"/>
              </w:rPr>
              <w:t>1</w:t>
            </w:r>
            <w:r>
              <w:rPr>
                <w:rFonts w:hAnsi="Calibri"/>
                <w:sz w:val="24"/>
                <w:szCs w:val="24"/>
              </w:rPr>
              <w:t>.5</w:t>
            </w:r>
          </w:p>
        </w:tc>
        <w:tc>
          <w:tcPr>
            <w:tcW w:w="1308" w:type="dxa"/>
            <w:shd w:val="clear" w:color="auto" w:fill="auto"/>
            <w:vAlign w:val="bottom"/>
          </w:tcPr>
          <w:p w14:paraId="0987267E">
            <w:pPr>
              <w:pStyle w:val="29"/>
              <w:spacing w:line="360" w:lineRule="auto"/>
              <w:ind w:firstLine="0" w:firstLineChars="0"/>
              <w:jc w:val="center"/>
              <w:rPr>
                <w:rFonts w:hAnsi="Calibri"/>
                <w:sz w:val="24"/>
                <w:szCs w:val="24"/>
              </w:rPr>
            </w:pPr>
            <w:r>
              <w:rPr>
                <w:rFonts w:hint="eastAsia" w:hAnsi="Calibri"/>
                <w:sz w:val="24"/>
                <w:szCs w:val="24"/>
                <w:lang w:val="en-US" w:eastAsia="zh-CN"/>
              </w:rPr>
              <w:t>2</w:t>
            </w:r>
            <w:r>
              <w:rPr>
                <w:rFonts w:hAnsi="Calibri"/>
                <w:sz w:val="24"/>
                <w:szCs w:val="24"/>
              </w:rPr>
              <w:t>.0</w:t>
            </w:r>
          </w:p>
        </w:tc>
        <w:tc>
          <w:tcPr>
            <w:tcW w:w="2612" w:type="dxa"/>
            <w:shd w:val="clear" w:color="auto" w:fill="auto"/>
            <w:vAlign w:val="bottom"/>
          </w:tcPr>
          <w:p w14:paraId="20DC7216">
            <w:pPr>
              <w:pStyle w:val="29"/>
              <w:spacing w:line="360" w:lineRule="auto"/>
              <w:ind w:firstLine="0" w:firstLineChars="0"/>
              <w:jc w:val="center"/>
              <w:rPr>
                <w:rFonts w:hint="default" w:hAnsi="Calibri" w:eastAsia="宋体"/>
                <w:sz w:val="24"/>
                <w:szCs w:val="24"/>
                <w:lang w:val="en-US" w:eastAsia="zh-CN"/>
              </w:rPr>
            </w:pPr>
            <w:r>
              <w:rPr>
                <w:rFonts w:hint="eastAsia" w:hAnsi="Calibri"/>
                <w:sz w:val="24"/>
                <w:szCs w:val="24"/>
              </w:rPr>
              <w:t>0.</w:t>
            </w:r>
            <w:r>
              <w:rPr>
                <w:rFonts w:hint="eastAsia" w:hAnsi="Calibri"/>
                <w:sz w:val="24"/>
                <w:szCs w:val="24"/>
                <w:lang w:val="en-US" w:eastAsia="zh-CN"/>
              </w:rPr>
              <w:t>24</w:t>
            </w:r>
          </w:p>
        </w:tc>
      </w:tr>
      <w:tr w14:paraId="72005D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7" w:hRule="atLeast"/>
        </w:trPr>
        <w:tc>
          <w:tcPr>
            <w:tcW w:w="2775" w:type="dxa"/>
            <w:shd w:val="clear" w:color="auto" w:fill="auto"/>
            <w:vAlign w:val="center"/>
          </w:tcPr>
          <w:p w14:paraId="6F5AA079">
            <w:pPr>
              <w:pStyle w:val="29"/>
              <w:adjustRightInd w:val="0"/>
              <w:snapToGrid w:val="0"/>
              <w:ind w:firstLine="0" w:firstLineChars="0"/>
              <w:jc w:val="center"/>
              <w:rPr>
                <w:rFonts w:hint="default" w:hAnsi="Calibri" w:eastAsia="宋体"/>
                <w:sz w:val="24"/>
                <w:szCs w:val="24"/>
                <w:lang w:val="en-US" w:eastAsia="zh-CN"/>
              </w:rPr>
            </w:pPr>
            <w:r>
              <w:rPr>
                <w:rFonts w:hint="eastAsia" w:hAnsi="Calibri"/>
                <w:sz w:val="24"/>
                <w:szCs w:val="24"/>
                <w:lang w:val="en-US" w:eastAsia="zh-CN"/>
              </w:rPr>
              <w:t>净味功能涂料-1</w:t>
            </w:r>
          </w:p>
        </w:tc>
        <w:tc>
          <w:tcPr>
            <w:tcW w:w="1631" w:type="dxa"/>
            <w:shd w:val="clear" w:color="auto" w:fill="auto"/>
            <w:vAlign w:val="bottom"/>
          </w:tcPr>
          <w:p w14:paraId="02CB3401">
            <w:pPr>
              <w:pStyle w:val="29"/>
              <w:spacing w:line="360" w:lineRule="auto"/>
              <w:ind w:firstLine="0" w:firstLineChars="0"/>
              <w:jc w:val="center"/>
              <w:rPr>
                <w:rFonts w:hint="eastAsia" w:hAnsi="Calibri" w:eastAsia="宋体"/>
                <w:sz w:val="24"/>
                <w:szCs w:val="24"/>
                <w:lang w:val="en-US" w:eastAsia="zh-CN"/>
              </w:rPr>
            </w:pPr>
            <w:r>
              <w:rPr>
                <w:rFonts w:hint="eastAsia" w:hAnsi="Calibri"/>
                <w:sz w:val="24"/>
                <w:szCs w:val="24"/>
                <w:lang w:val="en-US" w:eastAsia="zh-CN"/>
              </w:rPr>
              <w:t>2</w:t>
            </w:r>
            <w:r>
              <w:rPr>
                <w:rFonts w:hAnsi="Calibri"/>
                <w:sz w:val="24"/>
                <w:szCs w:val="24"/>
              </w:rPr>
              <w:t>.</w:t>
            </w:r>
            <w:r>
              <w:rPr>
                <w:rFonts w:hint="eastAsia" w:hAnsi="Calibri"/>
                <w:sz w:val="24"/>
                <w:szCs w:val="24"/>
                <w:lang w:val="en-US" w:eastAsia="zh-CN"/>
              </w:rPr>
              <w:t>0</w:t>
            </w:r>
          </w:p>
        </w:tc>
        <w:tc>
          <w:tcPr>
            <w:tcW w:w="1469" w:type="dxa"/>
            <w:shd w:val="clear" w:color="auto" w:fill="auto"/>
            <w:vAlign w:val="bottom"/>
          </w:tcPr>
          <w:p w14:paraId="4896A929">
            <w:pPr>
              <w:pStyle w:val="29"/>
              <w:spacing w:line="360" w:lineRule="auto"/>
              <w:ind w:firstLine="0" w:firstLineChars="0"/>
              <w:jc w:val="center"/>
              <w:rPr>
                <w:rFonts w:hAnsi="Calibri"/>
                <w:sz w:val="24"/>
                <w:szCs w:val="24"/>
              </w:rPr>
            </w:pPr>
            <w:r>
              <w:rPr>
                <w:rFonts w:hint="eastAsia" w:hAnsi="Calibri"/>
                <w:sz w:val="24"/>
                <w:szCs w:val="24"/>
                <w:lang w:val="en-US" w:eastAsia="zh-CN"/>
              </w:rPr>
              <w:t>2</w:t>
            </w:r>
            <w:r>
              <w:rPr>
                <w:rFonts w:hAnsi="Calibri"/>
                <w:sz w:val="24"/>
                <w:szCs w:val="24"/>
              </w:rPr>
              <w:t>.0</w:t>
            </w:r>
          </w:p>
        </w:tc>
        <w:tc>
          <w:tcPr>
            <w:tcW w:w="1469" w:type="dxa"/>
            <w:shd w:val="clear" w:color="auto" w:fill="auto"/>
            <w:vAlign w:val="bottom"/>
          </w:tcPr>
          <w:p w14:paraId="56E45679">
            <w:pPr>
              <w:pStyle w:val="29"/>
              <w:spacing w:line="360" w:lineRule="auto"/>
              <w:ind w:firstLine="0" w:firstLineChars="0"/>
              <w:jc w:val="center"/>
              <w:rPr>
                <w:rFonts w:hAnsi="Calibri"/>
                <w:sz w:val="24"/>
                <w:szCs w:val="24"/>
              </w:rPr>
            </w:pPr>
            <w:r>
              <w:rPr>
                <w:rFonts w:hint="eastAsia" w:hAnsi="Calibri"/>
                <w:sz w:val="24"/>
                <w:szCs w:val="24"/>
                <w:lang w:val="en-US" w:eastAsia="zh-CN"/>
              </w:rPr>
              <w:t>2</w:t>
            </w:r>
            <w:r>
              <w:rPr>
                <w:rFonts w:hAnsi="Calibri"/>
                <w:sz w:val="24"/>
                <w:szCs w:val="24"/>
              </w:rPr>
              <w:t>.0</w:t>
            </w:r>
          </w:p>
        </w:tc>
        <w:tc>
          <w:tcPr>
            <w:tcW w:w="1469" w:type="dxa"/>
            <w:shd w:val="clear" w:color="auto" w:fill="auto"/>
            <w:vAlign w:val="bottom"/>
          </w:tcPr>
          <w:p w14:paraId="10D642DE">
            <w:pPr>
              <w:pStyle w:val="29"/>
              <w:spacing w:line="360" w:lineRule="auto"/>
              <w:ind w:firstLine="0" w:firstLineChars="0"/>
              <w:jc w:val="center"/>
              <w:rPr>
                <w:rFonts w:hAnsi="Calibri"/>
                <w:sz w:val="24"/>
                <w:szCs w:val="24"/>
              </w:rPr>
            </w:pPr>
            <w:r>
              <w:rPr>
                <w:rFonts w:hint="eastAsia" w:hAnsi="Calibri"/>
                <w:sz w:val="24"/>
                <w:szCs w:val="24"/>
                <w:lang w:val="en-US" w:eastAsia="zh-CN"/>
              </w:rPr>
              <w:t>1</w:t>
            </w:r>
            <w:r>
              <w:rPr>
                <w:rFonts w:hAnsi="Calibri"/>
                <w:sz w:val="24"/>
                <w:szCs w:val="24"/>
              </w:rPr>
              <w:t>.5</w:t>
            </w:r>
          </w:p>
        </w:tc>
        <w:tc>
          <w:tcPr>
            <w:tcW w:w="1306" w:type="dxa"/>
            <w:shd w:val="clear" w:color="auto" w:fill="auto"/>
            <w:vAlign w:val="bottom"/>
          </w:tcPr>
          <w:p w14:paraId="06CFE923">
            <w:pPr>
              <w:pStyle w:val="29"/>
              <w:spacing w:line="360" w:lineRule="auto"/>
              <w:ind w:firstLine="0" w:firstLineChars="0"/>
              <w:jc w:val="center"/>
              <w:rPr>
                <w:rFonts w:hAnsi="Calibri"/>
                <w:sz w:val="24"/>
                <w:szCs w:val="24"/>
              </w:rPr>
            </w:pPr>
            <w:r>
              <w:rPr>
                <w:rFonts w:hint="eastAsia" w:hAnsi="Calibri"/>
                <w:sz w:val="24"/>
                <w:szCs w:val="24"/>
                <w:lang w:val="en-US" w:eastAsia="zh-CN"/>
              </w:rPr>
              <w:t>2</w:t>
            </w:r>
            <w:r>
              <w:rPr>
                <w:rFonts w:hAnsi="Calibri"/>
                <w:sz w:val="24"/>
                <w:szCs w:val="24"/>
              </w:rPr>
              <w:t>.0</w:t>
            </w:r>
          </w:p>
        </w:tc>
        <w:tc>
          <w:tcPr>
            <w:tcW w:w="1308" w:type="dxa"/>
            <w:shd w:val="clear" w:color="auto" w:fill="auto"/>
            <w:vAlign w:val="bottom"/>
          </w:tcPr>
          <w:p w14:paraId="712F96D0">
            <w:pPr>
              <w:pStyle w:val="29"/>
              <w:spacing w:line="360" w:lineRule="auto"/>
              <w:ind w:firstLine="0" w:firstLineChars="0"/>
              <w:jc w:val="center"/>
              <w:rPr>
                <w:rFonts w:hAnsi="Calibri"/>
                <w:sz w:val="24"/>
                <w:szCs w:val="24"/>
              </w:rPr>
            </w:pPr>
            <w:r>
              <w:rPr>
                <w:rFonts w:hint="eastAsia" w:hAnsi="Calibri"/>
                <w:sz w:val="24"/>
                <w:szCs w:val="24"/>
                <w:lang w:val="en-US" w:eastAsia="zh-CN"/>
              </w:rPr>
              <w:t>1</w:t>
            </w:r>
            <w:r>
              <w:rPr>
                <w:rFonts w:hAnsi="Calibri"/>
                <w:sz w:val="24"/>
                <w:szCs w:val="24"/>
              </w:rPr>
              <w:t>.0</w:t>
            </w:r>
          </w:p>
        </w:tc>
        <w:tc>
          <w:tcPr>
            <w:tcW w:w="2612" w:type="dxa"/>
            <w:shd w:val="clear" w:color="auto" w:fill="auto"/>
            <w:vAlign w:val="bottom"/>
          </w:tcPr>
          <w:p w14:paraId="49B9A51E">
            <w:pPr>
              <w:pStyle w:val="29"/>
              <w:spacing w:line="360" w:lineRule="auto"/>
              <w:ind w:firstLine="0" w:firstLineChars="0"/>
              <w:jc w:val="center"/>
              <w:rPr>
                <w:rFonts w:hAnsi="Calibri"/>
                <w:sz w:val="24"/>
                <w:szCs w:val="24"/>
              </w:rPr>
            </w:pPr>
            <w:r>
              <w:rPr>
                <w:rFonts w:hint="eastAsia" w:hAnsi="Calibri"/>
                <w:sz w:val="24"/>
                <w:szCs w:val="24"/>
              </w:rPr>
              <w:t>0.</w:t>
            </w:r>
            <w:r>
              <w:rPr>
                <w:rFonts w:hint="eastAsia" w:hAnsi="Calibri"/>
                <w:sz w:val="24"/>
                <w:szCs w:val="24"/>
                <w:lang w:val="en-US" w:eastAsia="zh-CN"/>
              </w:rPr>
              <w:t>38</w:t>
            </w:r>
            <w:r>
              <w:rPr>
                <w:rFonts w:hint="eastAsia" w:hAnsi="Calibri"/>
                <w:sz w:val="24"/>
                <w:szCs w:val="24"/>
              </w:rPr>
              <w:t xml:space="preserve"> </w:t>
            </w:r>
          </w:p>
        </w:tc>
      </w:tr>
      <w:tr w14:paraId="63BB36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7" w:hRule="atLeast"/>
        </w:trPr>
        <w:tc>
          <w:tcPr>
            <w:tcW w:w="2775" w:type="dxa"/>
            <w:shd w:val="clear" w:color="auto" w:fill="auto"/>
            <w:vAlign w:val="center"/>
          </w:tcPr>
          <w:p w14:paraId="1321C66B">
            <w:pPr>
              <w:pStyle w:val="29"/>
              <w:adjustRightInd w:val="0"/>
              <w:snapToGrid w:val="0"/>
              <w:ind w:firstLine="0" w:firstLineChars="0"/>
              <w:jc w:val="center"/>
              <w:rPr>
                <w:rFonts w:hint="default" w:hAnsi="Calibri"/>
                <w:sz w:val="24"/>
                <w:szCs w:val="24"/>
                <w:lang w:val="en-US"/>
              </w:rPr>
            </w:pPr>
            <w:r>
              <w:rPr>
                <w:rFonts w:hint="eastAsia" w:hAnsi="Calibri"/>
                <w:sz w:val="24"/>
                <w:szCs w:val="24"/>
                <w:lang w:val="en-US" w:eastAsia="zh-CN"/>
              </w:rPr>
              <w:t>净味功能涂料-2</w:t>
            </w:r>
          </w:p>
        </w:tc>
        <w:tc>
          <w:tcPr>
            <w:tcW w:w="1631" w:type="dxa"/>
            <w:shd w:val="clear" w:color="auto" w:fill="auto"/>
            <w:vAlign w:val="bottom"/>
          </w:tcPr>
          <w:p w14:paraId="11C5A9C0">
            <w:pPr>
              <w:pStyle w:val="29"/>
              <w:spacing w:line="360" w:lineRule="auto"/>
              <w:ind w:firstLine="0" w:firstLineChars="0"/>
              <w:jc w:val="center"/>
              <w:rPr>
                <w:rFonts w:hAnsi="Calibri"/>
                <w:sz w:val="24"/>
                <w:szCs w:val="24"/>
              </w:rPr>
            </w:pPr>
            <w:r>
              <w:rPr>
                <w:rFonts w:hint="eastAsia" w:hAnsi="Calibri"/>
                <w:sz w:val="24"/>
                <w:szCs w:val="24"/>
                <w:lang w:val="en-US" w:eastAsia="zh-CN"/>
              </w:rPr>
              <w:t>1</w:t>
            </w:r>
            <w:r>
              <w:rPr>
                <w:rFonts w:hAnsi="Calibri"/>
                <w:sz w:val="24"/>
                <w:szCs w:val="24"/>
              </w:rPr>
              <w:t>.5</w:t>
            </w:r>
          </w:p>
        </w:tc>
        <w:tc>
          <w:tcPr>
            <w:tcW w:w="1469" w:type="dxa"/>
            <w:shd w:val="clear" w:color="auto" w:fill="auto"/>
            <w:vAlign w:val="bottom"/>
          </w:tcPr>
          <w:p w14:paraId="670DEB09">
            <w:pPr>
              <w:pStyle w:val="29"/>
              <w:spacing w:line="360" w:lineRule="auto"/>
              <w:ind w:firstLine="0" w:firstLineChars="0"/>
              <w:jc w:val="center"/>
              <w:rPr>
                <w:rFonts w:hAnsi="Calibri"/>
                <w:sz w:val="24"/>
                <w:szCs w:val="24"/>
              </w:rPr>
            </w:pPr>
            <w:r>
              <w:rPr>
                <w:rFonts w:hint="eastAsia" w:hAnsi="Calibri"/>
                <w:sz w:val="24"/>
                <w:szCs w:val="24"/>
                <w:lang w:val="en-US" w:eastAsia="zh-CN"/>
              </w:rPr>
              <w:t>1</w:t>
            </w:r>
            <w:r>
              <w:rPr>
                <w:rFonts w:hAnsi="Calibri"/>
                <w:sz w:val="24"/>
                <w:szCs w:val="24"/>
              </w:rPr>
              <w:t>.0</w:t>
            </w:r>
          </w:p>
        </w:tc>
        <w:tc>
          <w:tcPr>
            <w:tcW w:w="1469" w:type="dxa"/>
            <w:shd w:val="clear" w:color="auto" w:fill="auto"/>
            <w:vAlign w:val="bottom"/>
          </w:tcPr>
          <w:p w14:paraId="1BFEB2A1">
            <w:pPr>
              <w:pStyle w:val="29"/>
              <w:spacing w:line="360" w:lineRule="auto"/>
              <w:ind w:firstLine="0" w:firstLineChars="0"/>
              <w:jc w:val="center"/>
              <w:rPr>
                <w:rFonts w:hAnsi="Calibri"/>
                <w:sz w:val="24"/>
                <w:szCs w:val="24"/>
              </w:rPr>
            </w:pPr>
            <w:r>
              <w:rPr>
                <w:rFonts w:hint="eastAsia" w:hAnsi="Calibri"/>
                <w:sz w:val="24"/>
                <w:szCs w:val="24"/>
                <w:lang w:val="en-US" w:eastAsia="zh-CN"/>
              </w:rPr>
              <w:t>1</w:t>
            </w:r>
            <w:r>
              <w:rPr>
                <w:rFonts w:hAnsi="Calibri"/>
                <w:sz w:val="24"/>
                <w:szCs w:val="24"/>
              </w:rPr>
              <w:t>.0</w:t>
            </w:r>
          </w:p>
        </w:tc>
        <w:tc>
          <w:tcPr>
            <w:tcW w:w="1469" w:type="dxa"/>
            <w:shd w:val="clear" w:color="auto" w:fill="auto"/>
            <w:vAlign w:val="bottom"/>
          </w:tcPr>
          <w:p w14:paraId="151795B8">
            <w:pPr>
              <w:pStyle w:val="29"/>
              <w:spacing w:line="360" w:lineRule="auto"/>
              <w:ind w:firstLine="0" w:firstLineChars="0"/>
              <w:jc w:val="center"/>
              <w:rPr>
                <w:rFonts w:hAnsi="Calibri"/>
                <w:sz w:val="24"/>
                <w:szCs w:val="24"/>
              </w:rPr>
            </w:pPr>
            <w:r>
              <w:rPr>
                <w:rFonts w:hint="eastAsia" w:hAnsi="Calibri"/>
                <w:sz w:val="24"/>
                <w:szCs w:val="24"/>
                <w:lang w:val="en-US" w:eastAsia="zh-CN"/>
              </w:rPr>
              <w:t>1</w:t>
            </w:r>
            <w:r>
              <w:rPr>
                <w:rFonts w:hAnsi="Calibri"/>
                <w:sz w:val="24"/>
                <w:szCs w:val="24"/>
              </w:rPr>
              <w:t>.5</w:t>
            </w:r>
          </w:p>
        </w:tc>
        <w:tc>
          <w:tcPr>
            <w:tcW w:w="1306" w:type="dxa"/>
            <w:shd w:val="clear" w:color="auto" w:fill="auto"/>
            <w:vAlign w:val="bottom"/>
          </w:tcPr>
          <w:p w14:paraId="44D77568">
            <w:pPr>
              <w:pStyle w:val="29"/>
              <w:spacing w:line="360" w:lineRule="auto"/>
              <w:ind w:firstLine="0" w:firstLineChars="0"/>
              <w:jc w:val="center"/>
              <w:rPr>
                <w:rFonts w:hAnsi="Calibri"/>
                <w:sz w:val="24"/>
                <w:szCs w:val="24"/>
              </w:rPr>
            </w:pPr>
            <w:r>
              <w:rPr>
                <w:rFonts w:hint="eastAsia" w:hAnsi="Calibri"/>
                <w:sz w:val="24"/>
                <w:szCs w:val="24"/>
                <w:lang w:val="en-US" w:eastAsia="zh-CN"/>
              </w:rPr>
              <w:t>2</w:t>
            </w:r>
            <w:r>
              <w:rPr>
                <w:rFonts w:hAnsi="Calibri"/>
                <w:sz w:val="24"/>
                <w:szCs w:val="24"/>
              </w:rPr>
              <w:t>.0</w:t>
            </w:r>
          </w:p>
        </w:tc>
        <w:tc>
          <w:tcPr>
            <w:tcW w:w="1308" w:type="dxa"/>
            <w:shd w:val="clear" w:color="auto" w:fill="auto"/>
            <w:vAlign w:val="bottom"/>
          </w:tcPr>
          <w:p w14:paraId="18BFEE26">
            <w:pPr>
              <w:pStyle w:val="29"/>
              <w:spacing w:line="360" w:lineRule="auto"/>
              <w:ind w:firstLine="0" w:firstLineChars="0"/>
              <w:jc w:val="center"/>
              <w:rPr>
                <w:rFonts w:hAnsi="Calibri"/>
                <w:sz w:val="24"/>
                <w:szCs w:val="24"/>
              </w:rPr>
            </w:pPr>
            <w:r>
              <w:rPr>
                <w:rFonts w:hint="eastAsia" w:hAnsi="Calibri"/>
                <w:sz w:val="24"/>
                <w:szCs w:val="24"/>
                <w:lang w:val="en-US" w:eastAsia="zh-CN"/>
              </w:rPr>
              <w:t>2</w:t>
            </w:r>
            <w:r>
              <w:rPr>
                <w:rFonts w:hAnsi="Calibri"/>
                <w:sz w:val="24"/>
                <w:szCs w:val="24"/>
              </w:rPr>
              <w:t>.0</w:t>
            </w:r>
          </w:p>
        </w:tc>
        <w:tc>
          <w:tcPr>
            <w:tcW w:w="2612" w:type="dxa"/>
            <w:shd w:val="clear" w:color="auto" w:fill="auto"/>
            <w:vAlign w:val="bottom"/>
          </w:tcPr>
          <w:p w14:paraId="161FF9B4">
            <w:pPr>
              <w:pStyle w:val="29"/>
              <w:spacing w:line="360" w:lineRule="auto"/>
              <w:ind w:firstLine="0" w:firstLineChars="0"/>
              <w:jc w:val="center"/>
              <w:rPr>
                <w:rFonts w:hAnsi="Calibri"/>
                <w:sz w:val="24"/>
                <w:szCs w:val="24"/>
              </w:rPr>
            </w:pPr>
            <w:r>
              <w:rPr>
                <w:rFonts w:hint="eastAsia" w:hAnsi="Calibri"/>
                <w:sz w:val="24"/>
                <w:szCs w:val="24"/>
              </w:rPr>
              <w:t>0.</w:t>
            </w:r>
            <w:r>
              <w:rPr>
                <w:rFonts w:hint="eastAsia" w:hAnsi="Calibri"/>
                <w:sz w:val="24"/>
                <w:szCs w:val="24"/>
                <w:lang w:val="en-US" w:eastAsia="zh-CN"/>
              </w:rPr>
              <w:t>41</w:t>
            </w:r>
            <w:r>
              <w:rPr>
                <w:rFonts w:hint="eastAsia" w:hAnsi="Calibri"/>
                <w:sz w:val="24"/>
                <w:szCs w:val="24"/>
              </w:rPr>
              <w:t xml:space="preserve"> </w:t>
            </w:r>
          </w:p>
        </w:tc>
      </w:tr>
      <w:tr w14:paraId="4B6EFE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7" w:hRule="atLeast"/>
        </w:trPr>
        <w:tc>
          <w:tcPr>
            <w:tcW w:w="2775" w:type="dxa"/>
            <w:shd w:val="clear" w:color="auto" w:fill="auto"/>
            <w:vAlign w:val="center"/>
          </w:tcPr>
          <w:p w14:paraId="201FD004">
            <w:pPr>
              <w:pStyle w:val="29"/>
              <w:adjustRightInd w:val="0"/>
              <w:snapToGrid w:val="0"/>
              <w:ind w:firstLine="0" w:firstLineChars="0"/>
              <w:jc w:val="center"/>
              <w:rPr>
                <w:rFonts w:hint="default" w:hAnsi="Calibri" w:eastAsia="宋体"/>
                <w:sz w:val="24"/>
                <w:szCs w:val="24"/>
                <w:lang w:val="en-US" w:eastAsia="zh-CN"/>
              </w:rPr>
            </w:pPr>
            <w:r>
              <w:rPr>
                <w:rFonts w:hint="eastAsia" w:hAnsi="Calibri"/>
                <w:sz w:val="24"/>
                <w:szCs w:val="24"/>
                <w:lang w:val="en-US" w:eastAsia="zh-CN"/>
              </w:rPr>
              <w:t>净化功能板材-1</w:t>
            </w:r>
          </w:p>
        </w:tc>
        <w:tc>
          <w:tcPr>
            <w:tcW w:w="1631" w:type="dxa"/>
            <w:shd w:val="clear" w:color="auto" w:fill="auto"/>
          </w:tcPr>
          <w:p w14:paraId="7F7BF653">
            <w:pPr>
              <w:pStyle w:val="29"/>
              <w:spacing w:line="360" w:lineRule="auto"/>
              <w:ind w:firstLine="0" w:firstLineChars="0"/>
              <w:jc w:val="center"/>
              <w:rPr>
                <w:rFonts w:hAnsi="Calibri"/>
                <w:sz w:val="24"/>
                <w:szCs w:val="24"/>
              </w:rPr>
            </w:pPr>
            <w:r>
              <w:rPr>
                <w:rFonts w:hAnsi="Calibri"/>
                <w:sz w:val="24"/>
                <w:szCs w:val="24"/>
              </w:rPr>
              <w:t>2.5</w:t>
            </w:r>
          </w:p>
        </w:tc>
        <w:tc>
          <w:tcPr>
            <w:tcW w:w="1469" w:type="dxa"/>
            <w:shd w:val="clear" w:color="auto" w:fill="auto"/>
          </w:tcPr>
          <w:p w14:paraId="51A5DC4A">
            <w:pPr>
              <w:pStyle w:val="29"/>
              <w:spacing w:line="360" w:lineRule="auto"/>
              <w:ind w:firstLine="0" w:firstLineChars="0"/>
              <w:jc w:val="center"/>
              <w:rPr>
                <w:rFonts w:hAnsi="Calibri"/>
                <w:sz w:val="24"/>
                <w:szCs w:val="24"/>
              </w:rPr>
            </w:pPr>
            <w:r>
              <w:rPr>
                <w:rFonts w:hAnsi="Calibri"/>
                <w:sz w:val="24"/>
                <w:szCs w:val="24"/>
              </w:rPr>
              <w:t>1.5</w:t>
            </w:r>
          </w:p>
        </w:tc>
        <w:tc>
          <w:tcPr>
            <w:tcW w:w="1469" w:type="dxa"/>
            <w:shd w:val="clear" w:color="auto" w:fill="auto"/>
          </w:tcPr>
          <w:p w14:paraId="6300F2C0">
            <w:pPr>
              <w:pStyle w:val="29"/>
              <w:spacing w:line="360" w:lineRule="auto"/>
              <w:ind w:firstLine="0" w:firstLineChars="0"/>
              <w:jc w:val="center"/>
              <w:rPr>
                <w:rFonts w:hAnsi="Calibri"/>
                <w:sz w:val="24"/>
                <w:szCs w:val="24"/>
              </w:rPr>
            </w:pPr>
            <w:r>
              <w:rPr>
                <w:rFonts w:hAnsi="Calibri"/>
                <w:sz w:val="24"/>
                <w:szCs w:val="24"/>
              </w:rPr>
              <w:t>1.5</w:t>
            </w:r>
          </w:p>
        </w:tc>
        <w:tc>
          <w:tcPr>
            <w:tcW w:w="1469" w:type="dxa"/>
            <w:shd w:val="clear" w:color="auto" w:fill="auto"/>
          </w:tcPr>
          <w:p w14:paraId="366D90DC">
            <w:pPr>
              <w:pStyle w:val="29"/>
              <w:spacing w:line="360" w:lineRule="auto"/>
              <w:ind w:firstLine="0" w:firstLineChars="0"/>
              <w:jc w:val="center"/>
              <w:rPr>
                <w:rFonts w:hAnsi="Calibri"/>
                <w:sz w:val="24"/>
                <w:szCs w:val="24"/>
              </w:rPr>
            </w:pPr>
            <w:r>
              <w:rPr>
                <w:rFonts w:hAnsi="Calibri"/>
                <w:sz w:val="24"/>
                <w:szCs w:val="24"/>
              </w:rPr>
              <w:t>2.0</w:t>
            </w:r>
          </w:p>
        </w:tc>
        <w:tc>
          <w:tcPr>
            <w:tcW w:w="1306" w:type="dxa"/>
            <w:shd w:val="clear" w:color="auto" w:fill="auto"/>
          </w:tcPr>
          <w:p w14:paraId="245B0AFC">
            <w:pPr>
              <w:pStyle w:val="29"/>
              <w:spacing w:line="360" w:lineRule="auto"/>
              <w:ind w:firstLine="0" w:firstLineChars="0"/>
              <w:jc w:val="center"/>
              <w:rPr>
                <w:rFonts w:hAnsi="Calibri"/>
                <w:sz w:val="24"/>
                <w:szCs w:val="24"/>
              </w:rPr>
            </w:pPr>
            <w:r>
              <w:rPr>
                <w:rFonts w:hAnsi="Calibri"/>
                <w:sz w:val="24"/>
                <w:szCs w:val="24"/>
              </w:rPr>
              <w:t>2.5</w:t>
            </w:r>
          </w:p>
        </w:tc>
        <w:tc>
          <w:tcPr>
            <w:tcW w:w="1308" w:type="dxa"/>
            <w:shd w:val="clear" w:color="auto" w:fill="auto"/>
          </w:tcPr>
          <w:p w14:paraId="53C12ED3">
            <w:pPr>
              <w:pStyle w:val="29"/>
              <w:spacing w:line="360" w:lineRule="auto"/>
              <w:ind w:firstLine="0" w:firstLineChars="0"/>
              <w:jc w:val="center"/>
              <w:rPr>
                <w:rFonts w:hAnsi="Calibri"/>
                <w:sz w:val="24"/>
                <w:szCs w:val="24"/>
              </w:rPr>
            </w:pPr>
            <w:r>
              <w:rPr>
                <w:rFonts w:hAnsi="Calibri"/>
                <w:sz w:val="24"/>
                <w:szCs w:val="24"/>
              </w:rPr>
              <w:t>2.0</w:t>
            </w:r>
          </w:p>
        </w:tc>
        <w:tc>
          <w:tcPr>
            <w:tcW w:w="2612" w:type="dxa"/>
            <w:shd w:val="clear" w:color="auto" w:fill="auto"/>
            <w:vAlign w:val="bottom"/>
          </w:tcPr>
          <w:p w14:paraId="352E4738">
            <w:pPr>
              <w:pStyle w:val="29"/>
              <w:spacing w:line="360" w:lineRule="auto"/>
              <w:ind w:firstLine="0" w:firstLineChars="0"/>
              <w:jc w:val="center"/>
              <w:rPr>
                <w:rFonts w:hAnsi="Calibri"/>
                <w:sz w:val="24"/>
                <w:szCs w:val="24"/>
              </w:rPr>
            </w:pPr>
            <w:r>
              <w:rPr>
                <w:rFonts w:hint="eastAsia" w:hAnsi="Calibri"/>
                <w:sz w:val="24"/>
                <w:szCs w:val="24"/>
              </w:rPr>
              <w:t xml:space="preserve">0.41 </w:t>
            </w:r>
          </w:p>
        </w:tc>
      </w:tr>
      <w:tr w14:paraId="6B2580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5" w:hRule="atLeast"/>
        </w:trPr>
        <w:tc>
          <w:tcPr>
            <w:tcW w:w="2775" w:type="dxa"/>
            <w:shd w:val="clear" w:color="auto" w:fill="auto"/>
            <w:vAlign w:val="center"/>
          </w:tcPr>
          <w:p w14:paraId="7C3093B8">
            <w:pPr>
              <w:pStyle w:val="29"/>
              <w:adjustRightInd w:val="0"/>
              <w:snapToGrid w:val="0"/>
              <w:ind w:firstLine="0" w:firstLineChars="0"/>
              <w:jc w:val="center"/>
              <w:rPr>
                <w:rFonts w:hAnsi="Calibri"/>
                <w:sz w:val="24"/>
                <w:szCs w:val="24"/>
              </w:rPr>
            </w:pPr>
            <w:r>
              <w:rPr>
                <w:rFonts w:hint="eastAsia" w:hAnsi="Calibri"/>
                <w:sz w:val="24"/>
                <w:szCs w:val="24"/>
                <w:lang w:val="en-US" w:eastAsia="zh-CN"/>
              </w:rPr>
              <w:t>净化功能板材-2</w:t>
            </w:r>
          </w:p>
        </w:tc>
        <w:tc>
          <w:tcPr>
            <w:tcW w:w="1631" w:type="dxa"/>
            <w:shd w:val="clear" w:color="auto" w:fill="auto"/>
            <w:vAlign w:val="bottom"/>
          </w:tcPr>
          <w:p w14:paraId="6E9FF6F9">
            <w:pPr>
              <w:pStyle w:val="29"/>
              <w:spacing w:line="360" w:lineRule="auto"/>
              <w:ind w:firstLine="0" w:firstLineChars="0"/>
              <w:jc w:val="center"/>
              <w:rPr>
                <w:rFonts w:hint="eastAsia" w:hAnsi="Calibri" w:eastAsia="宋体"/>
                <w:sz w:val="24"/>
                <w:szCs w:val="24"/>
                <w:lang w:eastAsia="zh-CN"/>
              </w:rPr>
            </w:pPr>
            <w:r>
              <w:rPr>
                <w:rFonts w:hAnsi="Calibri"/>
                <w:sz w:val="24"/>
                <w:szCs w:val="24"/>
              </w:rPr>
              <w:t>1.</w:t>
            </w:r>
            <w:r>
              <w:rPr>
                <w:rFonts w:hint="eastAsia" w:hAnsi="Calibri"/>
                <w:sz w:val="24"/>
                <w:szCs w:val="24"/>
                <w:lang w:val="en-US" w:eastAsia="zh-CN"/>
              </w:rPr>
              <w:t>0</w:t>
            </w:r>
          </w:p>
        </w:tc>
        <w:tc>
          <w:tcPr>
            <w:tcW w:w="1469" w:type="dxa"/>
            <w:shd w:val="clear" w:color="auto" w:fill="auto"/>
            <w:vAlign w:val="bottom"/>
          </w:tcPr>
          <w:p w14:paraId="09D2957D">
            <w:pPr>
              <w:pStyle w:val="29"/>
              <w:spacing w:line="360" w:lineRule="auto"/>
              <w:ind w:firstLine="0" w:firstLineChars="0"/>
              <w:jc w:val="center"/>
              <w:rPr>
                <w:rFonts w:hAnsi="Calibri"/>
                <w:sz w:val="24"/>
                <w:szCs w:val="24"/>
              </w:rPr>
            </w:pPr>
            <w:r>
              <w:rPr>
                <w:rFonts w:hint="eastAsia" w:hAnsi="Calibri"/>
                <w:sz w:val="24"/>
                <w:szCs w:val="24"/>
                <w:lang w:val="en-US" w:eastAsia="zh-CN"/>
              </w:rPr>
              <w:t>1</w:t>
            </w:r>
            <w:r>
              <w:rPr>
                <w:rFonts w:hAnsi="Calibri"/>
                <w:sz w:val="24"/>
                <w:szCs w:val="24"/>
              </w:rPr>
              <w:t>.0</w:t>
            </w:r>
          </w:p>
        </w:tc>
        <w:tc>
          <w:tcPr>
            <w:tcW w:w="1469" w:type="dxa"/>
            <w:shd w:val="clear" w:color="auto" w:fill="auto"/>
            <w:vAlign w:val="bottom"/>
          </w:tcPr>
          <w:p w14:paraId="6EBD8698">
            <w:pPr>
              <w:pStyle w:val="29"/>
              <w:spacing w:line="360" w:lineRule="auto"/>
              <w:ind w:firstLine="0" w:firstLineChars="0"/>
              <w:jc w:val="center"/>
              <w:rPr>
                <w:rFonts w:hAnsi="Calibri"/>
                <w:sz w:val="24"/>
                <w:szCs w:val="24"/>
              </w:rPr>
            </w:pPr>
            <w:r>
              <w:rPr>
                <w:rFonts w:hAnsi="Calibri"/>
                <w:sz w:val="24"/>
                <w:szCs w:val="24"/>
              </w:rPr>
              <w:t>1.5</w:t>
            </w:r>
          </w:p>
        </w:tc>
        <w:tc>
          <w:tcPr>
            <w:tcW w:w="1469" w:type="dxa"/>
            <w:shd w:val="clear" w:color="auto" w:fill="auto"/>
            <w:vAlign w:val="bottom"/>
          </w:tcPr>
          <w:p w14:paraId="77E1592C">
            <w:pPr>
              <w:pStyle w:val="29"/>
              <w:spacing w:line="360" w:lineRule="auto"/>
              <w:ind w:firstLine="0" w:firstLineChars="0"/>
              <w:jc w:val="center"/>
              <w:rPr>
                <w:rFonts w:hAnsi="Calibri"/>
                <w:sz w:val="24"/>
                <w:szCs w:val="24"/>
              </w:rPr>
            </w:pPr>
            <w:r>
              <w:rPr>
                <w:rFonts w:hint="eastAsia" w:hAnsi="Calibri"/>
                <w:sz w:val="24"/>
                <w:szCs w:val="24"/>
                <w:lang w:val="en-US" w:eastAsia="zh-CN"/>
              </w:rPr>
              <w:t>0.5</w:t>
            </w:r>
          </w:p>
        </w:tc>
        <w:tc>
          <w:tcPr>
            <w:tcW w:w="1306" w:type="dxa"/>
            <w:shd w:val="clear" w:color="auto" w:fill="auto"/>
            <w:vAlign w:val="bottom"/>
          </w:tcPr>
          <w:p w14:paraId="1B26D2D1">
            <w:pPr>
              <w:pStyle w:val="29"/>
              <w:spacing w:line="360" w:lineRule="auto"/>
              <w:ind w:firstLine="0" w:firstLineChars="0"/>
              <w:jc w:val="center"/>
              <w:rPr>
                <w:rFonts w:hint="default" w:hAnsi="Calibri" w:eastAsia="宋体"/>
                <w:sz w:val="24"/>
                <w:szCs w:val="24"/>
                <w:lang w:val="en-US" w:eastAsia="zh-CN"/>
              </w:rPr>
            </w:pPr>
            <w:r>
              <w:rPr>
                <w:rFonts w:hint="eastAsia" w:hAnsi="Calibri"/>
                <w:sz w:val="24"/>
                <w:szCs w:val="24"/>
                <w:lang w:val="en-US" w:eastAsia="zh-CN"/>
              </w:rPr>
              <w:t>0.5</w:t>
            </w:r>
          </w:p>
        </w:tc>
        <w:tc>
          <w:tcPr>
            <w:tcW w:w="1308" w:type="dxa"/>
            <w:shd w:val="clear" w:color="auto" w:fill="auto"/>
            <w:vAlign w:val="bottom"/>
          </w:tcPr>
          <w:p w14:paraId="3B7249B5">
            <w:pPr>
              <w:pStyle w:val="29"/>
              <w:spacing w:line="360" w:lineRule="auto"/>
              <w:ind w:firstLine="0" w:firstLineChars="0"/>
              <w:jc w:val="center"/>
              <w:rPr>
                <w:rFonts w:hint="eastAsia" w:hAnsi="Calibri" w:eastAsia="宋体"/>
                <w:sz w:val="24"/>
                <w:szCs w:val="24"/>
                <w:lang w:eastAsia="zh-CN"/>
              </w:rPr>
            </w:pPr>
            <w:r>
              <w:rPr>
                <w:rFonts w:hAnsi="Calibri"/>
                <w:sz w:val="24"/>
                <w:szCs w:val="24"/>
              </w:rPr>
              <w:t>1.</w:t>
            </w:r>
            <w:r>
              <w:rPr>
                <w:rFonts w:hint="eastAsia" w:hAnsi="Calibri"/>
                <w:sz w:val="24"/>
                <w:szCs w:val="24"/>
                <w:lang w:val="en-US" w:eastAsia="zh-CN"/>
              </w:rPr>
              <w:t>0</w:t>
            </w:r>
          </w:p>
        </w:tc>
        <w:tc>
          <w:tcPr>
            <w:tcW w:w="2612" w:type="dxa"/>
            <w:shd w:val="clear" w:color="auto" w:fill="auto"/>
            <w:vAlign w:val="bottom"/>
          </w:tcPr>
          <w:p w14:paraId="2A827DEC">
            <w:pPr>
              <w:pStyle w:val="29"/>
              <w:spacing w:line="360" w:lineRule="auto"/>
              <w:ind w:firstLine="0" w:firstLineChars="0"/>
              <w:jc w:val="center"/>
              <w:rPr>
                <w:rFonts w:hint="default" w:hAnsi="Calibri" w:eastAsia="宋体"/>
                <w:sz w:val="24"/>
                <w:szCs w:val="24"/>
                <w:lang w:val="en-US" w:eastAsia="zh-CN"/>
              </w:rPr>
            </w:pPr>
            <w:r>
              <w:rPr>
                <w:rFonts w:hint="eastAsia" w:hAnsi="Calibri"/>
                <w:sz w:val="24"/>
                <w:szCs w:val="24"/>
              </w:rPr>
              <w:t>0.</w:t>
            </w:r>
            <w:r>
              <w:rPr>
                <w:rFonts w:hint="eastAsia" w:hAnsi="Calibri"/>
                <w:sz w:val="24"/>
                <w:szCs w:val="24"/>
                <w:lang w:val="en-US" w:eastAsia="zh-CN"/>
              </w:rPr>
              <w:t>34</w:t>
            </w:r>
          </w:p>
        </w:tc>
      </w:tr>
      <w:bookmarkEnd w:id="55"/>
    </w:tbl>
    <w:p w14:paraId="516B0568">
      <w:pPr>
        <w:pStyle w:val="29"/>
        <w:spacing w:line="360" w:lineRule="auto"/>
        <w:ind w:firstLine="483"/>
        <w:rPr>
          <w:sz w:val="24"/>
          <w:szCs w:val="24"/>
        </w:rPr>
      </w:pPr>
      <w:r>
        <w:rPr>
          <w:rFonts w:hint="eastAsia"/>
          <w:sz w:val="24"/>
          <w:szCs w:val="24"/>
        </w:rPr>
        <w:t>从表A.1的结果可以看出，利用标准方法测定的实际样品气味强度</w:t>
      </w:r>
      <w:r>
        <w:rPr>
          <w:rFonts w:hint="eastAsia"/>
          <w:sz w:val="24"/>
          <w:szCs w:val="24"/>
          <w:lang w:val="en-US" w:eastAsia="zh-CN"/>
        </w:rPr>
        <w:t>差值</w:t>
      </w:r>
      <m:oMath>
        <m:r>
          <m:rPr>
            <m:sty m:val="p"/>
          </m:rPr>
          <w:rPr>
            <w:rFonts w:ascii="Cambria Math" w:hAnsi="Cambria Math"/>
            <w:sz w:val="24"/>
            <w:szCs w:val="24"/>
          </w:rPr>
          <m:t>∆</m:t>
        </m:r>
        <m:r>
          <m:rPr>
            <m:sty m:val="p"/>
          </m:rPr>
          <w:rPr>
            <w:rFonts w:hint="default" w:ascii="Cambria Math" w:hAnsi="Cambria Math"/>
            <w:sz w:val="24"/>
            <w:szCs w:val="24"/>
            <w:lang w:val="en-US" w:eastAsia="zh-CN"/>
          </w:rPr>
          <m:t>OI</m:t>
        </m:r>
      </m:oMath>
      <w:r>
        <w:rPr>
          <w:rFonts w:hint="eastAsia"/>
          <w:sz w:val="24"/>
          <w:szCs w:val="24"/>
        </w:rPr>
        <w:t>均满足</w:t>
      </w:r>
      <w:r>
        <w:rPr>
          <w:sz w:val="24"/>
          <w:szCs w:val="24"/>
        </w:rPr>
        <w:t>标准偏差</w:t>
      </w:r>
      <w:r>
        <w:rPr>
          <w:rFonts w:hint="eastAsia"/>
          <w:sz w:val="24"/>
          <w:szCs w:val="24"/>
        </w:rPr>
        <w:t>≤0.5。通过以上数据可知本标准</w:t>
      </w:r>
      <w:r>
        <w:rPr>
          <w:sz w:val="24"/>
          <w:szCs w:val="24"/>
        </w:rPr>
        <w:t>的气味</w:t>
      </w:r>
      <w:r>
        <w:rPr>
          <w:rFonts w:hint="eastAsia"/>
          <w:sz w:val="24"/>
          <w:szCs w:val="24"/>
          <w:lang w:val="en-US" w:eastAsia="zh-CN"/>
        </w:rPr>
        <w:t>净化性能</w:t>
      </w:r>
      <w:r>
        <w:rPr>
          <w:sz w:val="24"/>
          <w:szCs w:val="24"/>
        </w:rPr>
        <w:t>评价方法</w:t>
      </w:r>
      <w:r>
        <w:rPr>
          <w:rFonts w:hint="eastAsia"/>
          <w:sz w:val="24"/>
          <w:szCs w:val="24"/>
        </w:rPr>
        <w:t>具有</w:t>
      </w:r>
      <w:r>
        <w:rPr>
          <w:sz w:val="24"/>
          <w:szCs w:val="24"/>
        </w:rPr>
        <w:t>良好的</w:t>
      </w:r>
      <w:r>
        <w:rPr>
          <w:rFonts w:hint="eastAsia"/>
          <w:sz w:val="24"/>
          <w:szCs w:val="24"/>
        </w:rPr>
        <w:t>重复性</w:t>
      </w:r>
      <w:r>
        <w:rPr>
          <w:sz w:val="24"/>
          <w:szCs w:val="24"/>
        </w:rPr>
        <w:t>。</w:t>
      </w:r>
    </w:p>
    <w:p w14:paraId="16A500BE">
      <w:pPr>
        <w:pStyle w:val="29"/>
        <w:numPr>
          <w:ilvl w:val="0"/>
          <w:numId w:val="4"/>
        </w:numPr>
        <w:ind w:firstLineChars="0"/>
        <w:rPr>
          <w:sz w:val="24"/>
          <w:szCs w:val="24"/>
        </w:rPr>
      </w:pPr>
      <w:r>
        <w:rPr>
          <w:rFonts w:hint="eastAsia"/>
          <w:sz w:val="24"/>
          <w:szCs w:val="24"/>
        </w:rPr>
        <w:t>方法再现性</w:t>
      </w:r>
    </w:p>
    <w:p w14:paraId="531A3856">
      <w:pPr>
        <w:pStyle w:val="29"/>
        <w:spacing w:line="360" w:lineRule="auto"/>
        <w:ind w:firstLine="423" w:firstLineChars="176"/>
        <w:rPr>
          <w:sz w:val="24"/>
          <w:szCs w:val="24"/>
        </w:rPr>
      </w:pPr>
      <w:r>
        <w:rPr>
          <w:rFonts w:hint="eastAsia"/>
          <w:sz w:val="24"/>
          <w:szCs w:val="24"/>
        </w:rPr>
        <w:t>为了进一步验证方法的可行性，选取</w:t>
      </w:r>
      <w:r>
        <w:rPr>
          <w:rFonts w:hint="eastAsia"/>
          <w:sz w:val="24"/>
          <w:szCs w:val="24"/>
          <w:lang w:val="en-US" w:eastAsia="zh-CN"/>
        </w:rPr>
        <w:t>6种室内空气净化材料</w:t>
      </w:r>
      <w:r>
        <w:rPr>
          <w:rFonts w:hint="eastAsia"/>
          <w:sz w:val="24"/>
          <w:szCs w:val="24"/>
        </w:rPr>
        <w:t>进行实验室间比对，不同实验室间的不同的气味评价小组对同一产品进行</w:t>
      </w:r>
      <w:r>
        <w:rPr>
          <w:rFonts w:hint="eastAsia"/>
          <w:sz w:val="24"/>
          <w:szCs w:val="24"/>
          <w:lang w:val="en-US" w:eastAsia="zh-CN"/>
        </w:rPr>
        <w:t>2次平行</w:t>
      </w:r>
      <w:r>
        <w:rPr>
          <w:rFonts w:hint="eastAsia"/>
          <w:sz w:val="24"/>
          <w:szCs w:val="24"/>
        </w:rPr>
        <w:t>测试，气味强度</w:t>
      </w:r>
      <w:r>
        <w:rPr>
          <w:rFonts w:hint="eastAsia"/>
          <w:sz w:val="24"/>
          <w:szCs w:val="24"/>
          <w:lang w:val="en-US" w:eastAsia="zh-CN"/>
        </w:rPr>
        <w:t>差值</w:t>
      </w:r>
      <w:r>
        <w:rPr>
          <w:rFonts w:hint="eastAsia"/>
          <w:sz w:val="24"/>
          <w:szCs w:val="24"/>
        </w:rPr>
        <w:t>实验结果见表A.</w:t>
      </w:r>
      <w:r>
        <w:rPr>
          <w:rFonts w:hint="eastAsia"/>
          <w:sz w:val="24"/>
          <w:szCs w:val="24"/>
          <w:lang w:val="en-US" w:eastAsia="zh-CN"/>
        </w:rPr>
        <w:t>2</w:t>
      </w:r>
      <w:r>
        <w:rPr>
          <w:rFonts w:hint="eastAsia"/>
          <w:sz w:val="24"/>
          <w:szCs w:val="24"/>
        </w:rPr>
        <w:t>。</w:t>
      </w:r>
    </w:p>
    <w:p w14:paraId="2FF027BD">
      <w:pPr>
        <w:pStyle w:val="15"/>
        <w:snapToGrid w:val="0"/>
        <w:spacing w:before="0" w:beforeAutospacing="0" w:after="0" w:afterAutospacing="0"/>
        <w:jc w:val="center"/>
        <w:rPr>
          <w:rFonts w:asciiTheme="minorEastAsia" w:hAnsiTheme="minorEastAsia" w:eastAsiaTheme="minorEastAsia"/>
        </w:rPr>
      </w:pPr>
      <w:r>
        <w:rPr>
          <w:rFonts w:asciiTheme="minorEastAsia" w:hAnsiTheme="minorEastAsia" w:eastAsiaTheme="minorEastAsia"/>
        </w:rPr>
        <w:t>表</w:t>
      </w:r>
      <w:r>
        <w:rPr>
          <w:rFonts w:hint="eastAsia" w:asciiTheme="minorEastAsia" w:hAnsiTheme="minorEastAsia" w:eastAsiaTheme="minorEastAsia"/>
        </w:rPr>
        <w:t>A.</w:t>
      </w:r>
      <w:r>
        <w:rPr>
          <w:rFonts w:hint="eastAsia" w:asciiTheme="minorEastAsia" w:hAnsiTheme="minorEastAsia" w:eastAsiaTheme="minorEastAsia"/>
          <w:lang w:val="en-US" w:eastAsia="zh-CN"/>
        </w:rPr>
        <w:t>2</w:t>
      </w:r>
      <w:r>
        <w:rPr>
          <w:rFonts w:asciiTheme="minorEastAsia" w:hAnsiTheme="minorEastAsia" w:eastAsiaTheme="minorEastAsia"/>
        </w:rPr>
        <w:t xml:space="preserve"> 不同</w:t>
      </w:r>
      <w:r>
        <w:rPr>
          <w:rFonts w:hint="eastAsia" w:asciiTheme="minorEastAsia" w:hAnsiTheme="minorEastAsia" w:eastAsiaTheme="minorEastAsia"/>
        </w:rPr>
        <w:t>实验室</w:t>
      </w:r>
      <w:r>
        <w:rPr>
          <w:rFonts w:asciiTheme="minorEastAsia" w:hAnsiTheme="minorEastAsia" w:eastAsiaTheme="minorEastAsia"/>
        </w:rPr>
        <w:t>测定结果</w:t>
      </w:r>
    </w:p>
    <w:tbl>
      <w:tblPr>
        <w:tblStyle w:val="62"/>
        <w:tblW w:w="1387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420"/>
        <w:gridCol w:w="2291"/>
        <w:gridCol w:w="2291"/>
        <w:gridCol w:w="2291"/>
        <w:gridCol w:w="2291"/>
        <w:gridCol w:w="2295"/>
      </w:tblGrid>
      <w:tr w14:paraId="67DF0F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0" w:type="auto"/>
            <w:vMerge w:val="restart"/>
            <w:vAlign w:val="center"/>
          </w:tcPr>
          <w:p w14:paraId="2B31581A">
            <w:pPr>
              <w:pStyle w:val="15"/>
              <w:adjustRightInd w:val="0"/>
              <w:snapToGrid w:val="0"/>
              <w:spacing w:line="360" w:lineRule="auto"/>
              <w:jc w:val="center"/>
              <w:rPr>
                <w:rFonts w:asciiTheme="minorEastAsia" w:hAnsiTheme="minorEastAsia" w:eastAsiaTheme="minorEastAsia"/>
              </w:rPr>
            </w:pPr>
            <w:bookmarkStart w:id="56" w:name="_Hlk50370067"/>
            <w:r>
              <w:rPr>
                <w:rFonts w:hint="eastAsia" w:ascii="Times New Roman" w:hAnsi="Times New Roman"/>
              </w:rPr>
              <w:t>样品编号</w:t>
            </w:r>
          </w:p>
        </w:tc>
        <w:tc>
          <w:tcPr>
            <w:tcW w:w="0" w:type="auto"/>
            <w:gridSpan w:val="5"/>
            <w:vAlign w:val="center"/>
          </w:tcPr>
          <w:p w14:paraId="1F0D9A24">
            <w:pPr>
              <w:pStyle w:val="15"/>
              <w:adjustRightInd w:val="0"/>
              <w:snapToGrid w:val="0"/>
              <w:spacing w:line="360" w:lineRule="auto"/>
              <w:jc w:val="center"/>
              <w:rPr>
                <w:rFonts w:ascii="Times New Roman" w:hAnsi="Times New Roman"/>
                <w:color w:val="000000"/>
              </w:rPr>
            </w:pPr>
            <w:r>
              <w:rPr>
                <w:rFonts w:hint="eastAsia" w:asciiTheme="minorEastAsia" w:hAnsiTheme="minorEastAsia" w:eastAsiaTheme="minorEastAsia"/>
              </w:rPr>
              <w:t>气味强度</w:t>
            </w:r>
            <w:r>
              <w:rPr>
                <w:rFonts w:hint="eastAsia" w:asciiTheme="minorEastAsia" w:hAnsiTheme="minorEastAsia" w:eastAsiaTheme="minorEastAsia"/>
                <w:lang w:val="en-US" w:eastAsia="zh-CN"/>
              </w:rPr>
              <w:t>差值</w:t>
            </w:r>
            <m:oMath>
              <m:r>
                <m:rPr>
                  <m:sty m:val="p"/>
                </m:rPr>
                <w:rPr>
                  <w:rFonts w:ascii="Cambria Math" w:hAnsi="Cambria Math"/>
                  <w:sz w:val="24"/>
                  <w:szCs w:val="24"/>
                </w:rPr>
                <m:t>∆</m:t>
              </m:r>
              <m:r>
                <m:rPr>
                  <m:sty m:val="p"/>
                </m:rPr>
                <w:rPr>
                  <w:rFonts w:hint="default" w:ascii="Cambria Math" w:hAnsi="Cambria Math"/>
                  <w:sz w:val="24"/>
                  <w:szCs w:val="24"/>
                  <w:lang w:val="en-US" w:eastAsia="zh-CN"/>
                </w:rPr>
                <m:t>OI</m:t>
              </m:r>
            </m:oMath>
            <w:r>
              <w:rPr>
                <w:rFonts w:hint="eastAsia"/>
              </w:rPr>
              <w:t>/级</w:t>
            </w:r>
          </w:p>
        </w:tc>
      </w:tr>
      <w:tr w14:paraId="192949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0" w:type="auto"/>
            <w:vMerge w:val="continue"/>
            <w:vAlign w:val="center"/>
          </w:tcPr>
          <w:p w14:paraId="736272B8">
            <w:pPr>
              <w:pStyle w:val="15"/>
              <w:adjustRightInd w:val="0"/>
              <w:snapToGrid w:val="0"/>
              <w:spacing w:line="360" w:lineRule="auto"/>
              <w:jc w:val="center"/>
              <w:rPr>
                <w:rFonts w:ascii="Times New Roman" w:hAnsi="Times New Roman"/>
              </w:rPr>
            </w:pPr>
          </w:p>
        </w:tc>
        <w:tc>
          <w:tcPr>
            <w:tcW w:w="2291" w:type="dxa"/>
            <w:vAlign w:val="center"/>
          </w:tcPr>
          <w:p w14:paraId="22D7F927">
            <w:pPr>
              <w:pStyle w:val="15"/>
              <w:adjustRightInd w:val="0"/>
              <w:snapToGrid w:val="0"/>
              <w:spacing w:line="360" w:lineRule="auto"/>
              <w:jc w:val="center"/>
              <w:rPr>
                <w:rFonts w:ascii="Times New Roman" w:hAnsi="Times New Roman"/>
                <w:color w:val="000000"/>
              </w:rPr>
            </w:pPr>
            <w:r>
              <w:rPr>
                <w:rFonts w:hint="eastAsia"/>
              </w:rPr>
              <w:t>LB</w:t>
            </w:r>
            <w:r>
              <w:rPr>
                <w:vertAlign w:val="subscript"/>
              </w:rPr>
              <w:t>1</w:t>
            </w:r>
          </w:p>
        </w:tc>
        <w:tc>
          <w:tcPr>
            <w:tcW w:w="2291" w:type="dxa"/>
            <w:vAlign w:val="center"/>
          </w:tcPr>
          <w:p w14:paraId="527E0DD5">
            <w:pPr>
              <w:pStyle w:val="15"/>
              <w:adjustRightInd w:val="0"/>
              <w:snapToGrid w:val="0"/>
              <w:spacing w:line="360" w:lineRule="auto"/>
              <w:jc w:val="center"/>
              <w:rPr>
                <w:rFonts w:ascii="Times New Roman" w:hAnsi="Times New Roman"/>
                <w:color w:val="000000"/>
              </w:rPr>
            </w:pPr>
            <w:r>
              <w:rPr>
                <w:rFonts w:hint="eastAsia"/>
              </w:rPr>
              <w:t>LB</w:t>
            </w:r>
            <w:r>
              <w:rPr>
                <w:rFonts w:hint="eastAsia"/>
                <w:vertAlign w:val="subscript"/>
              </w:rPr>
              <w:t>2</w:t>
            </w:r>
          </w:p>
        </w:tc>
        <w:tc>
          <w:tcPr>
            <w:tcW w:w="2291" w:type="dxa"/>
            <w:vAlign w:val="center"/>
          </w:tcPr>
          <w:p w14:paraId="48E574DA">
            <w:pPr>
              <w:pStyle w:val="15"/>
              <w:adjustRightInd w:val="0"/>
              <w:snapToGrid w:val="0"/>
              <w:spacing w:line="360" w:lineRule="auto"/>
              <w:jc w:val="center"/>
              <w:rPr>
                <w:rFonts w:ascii="Times New Roman" w:hAnsi="Times New Roman"/>
                <w:color w:val="000000"/>
              </w:rPr>
            </w:pPr>
            <w:r>
              <w:rPr>
                <w:rFonts w:hint="eastAsia"/>
              </w:rPr>
              <w:t>LB</w:t>
            </w:r>
            <w:r>
              <w:rPr>
                <w:rFonts w:hint="eastAsia"/>
                <w:vertAlign w:val="subscript"/>
              </w:rPr>
              <w:t>1</w:t>
            </w:r>
          </w:p>
        </w:tc>
        <w:tc>
          <w:tcPr>
            <w:tcW w:w="2291" w:type="dxa"/>
            <w:vAlign w:val="center"/>
          </w:tcPr>
          <w:p w14:paraId="25C0AC2F">
            <w:pPr>
              <w:pStyle w:val="15"/>
              <w:adjustRightInd w:val="0"/>
              <w:snapToGrid w:val="0"/>
              <w:spacing w:line="360" w:lineRule="auto"/>
              <w:jc w:val="center"/>
              <w:rPr>
                <w:rFonts w:ascii="Times New Roman" w:hAnsi="Times New Roman"/>
                <w:color w:val="000000"/>
              </w:rPr>
            </w:pPr>
            <w:r>
              <w:rPr>
                <w:rFonts w:hint="eastAsia"/>
              </w:rPr>
              <w:t>LB</w:t>
            </w:r>
            <w:r>
              <w:rPr>
                <w:rFonts w:hint="eastAsia"/>
                <w:vertAlign w:val="subscript"/>
              </w:rPr>
              <w:t>2</w:t>
            </w:r>
          </w:p>
        </w:tc>
        <w:tc>
          <w:tcPr>
            <w:tcW w:w="2295" w:type="dxa"/>
            <w:vAlign w:val="center"/>
          </w:tcPr>
          <w:p w14:paraId="6B9A4A82">
            <w:pPr>
              <w:pStyle w:val="15"/>
              <w:adjustRightInd w:val="0"/>
              <w:snapToGrid w:val="0"/>
              <w:spacing w:line="360" w:lineRule="auto"/>
              <w:jc w:val="center"/>
              <w:rPr>
                <w:rFonts w:ascii="Times New Roman" w:hAnsi="Times New Roman"/>
                <w:color w:val="000000"/>
              </w:rPr>
            </w:pPr>
            <w:r>
              <w:rPr>
                <w:rFonts w:hint="eastAsia" w:ascii="Times New Roman" w:hAnsi="Times New Roman"/>
                <w:color w:val="000000"/>
              </w:rPr>
              <w:t>标准偏差</w:t>
            </w:r>
          </w:p>
        </w:tc>
      </w:tr>
      <w:tr w14:paraId="69D582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0" w:type="auto"/>
            <w:vAlign w:val="center"/>
          </w:tcPr>
          <w:p w14:paraId="5FEFB95E">
            <w:pPr>
              <w:pStyle w:val="15"/>
              <w:adjustRightInd w:val="0"/>
              <w:snapToGrid w:val="0"/>
              <w:spacing w:line="360" w:lineRule="auto"/>
              <w:jc w:val="center"/>
              <w:rPr>
                <w:rFonts w:hint="eastAsia" w:asciiTheme="minorEastAsia" w:hAnsiTheme="minorEastAsia" w:eastAsiaTheme="minorEastAsia"/>
                <w:lang w:eastAsia="zh-CN"/>
              </w:rPr>
            </w:pPr>
            <w:r>
              <w:rPr>
                <w:rFonts w:hint="eastAsia" w:eastAsiaTheme="minorEastAsia"/>
                <w:lang w:val="en-US" w:eastAsia="zh-CN"/>
              </w:rPr>
              <w:t>净味活性炭</w:t>
            </w:r>
          </w:p>
        </w:tc>
        <w:tc>
          <w:tcPr>
            <w:tcW w:w="2291" w:type="dxa"/>
            <w:shd w:val="clear" w:color="auto" w:fill="auto"/>
            <w:vAlign w:val="center"/>
          </w:tcPr>
          <w:p w14:paraId="0AA7236B">
            <w:pPr>
              <w:pStyle w:val="15"/>
              <w:adjustRightInd w:val="0"/>
              <w:snapToGrid w:val="0"/>
              <w:spacing w:line="360" w:lineRule="auto"/>
              <w:jc w:val="center"/>
            </w:pPr>
            <w:r>
              <w:rPr>
                <w:rFonts w:hint="eastAsia"/>
                <w:lang w:val="en-US" w:eastAsia="zh-CN"/>
              </w:rPr>
              <w:t>2</w:t>
            </w:r>
            <w:r>
              <w:t>.5</w:t>
            </w:r>
          </w:p>
        </w:tc>
        <w:tc>
          <w:tcPr>
            <w:tcW w:w="2291" w:type="dxa"/>
            <w:shd w:val="clear" w:color="auto" w:fill="auto"/>
            <w:vAlign w:val="center"/>
          </w:tcPr>
          <w:p w14:paraId="4906724C">
            <w:pPr>
              <w:pStyle w:val="15"/>
              <w:adjustRightInd w:val="0"/>
              <w:snapToGrid w:val="0"/>
              <w:spacing w:line="360" w:lineRule="auto"/>
              <w:jc w:val="center"/>
            </w:pPr>
            <w:r>
              <w:t>2.0</w:t>
            </w:r>
          </w:p>
        </w:tc>
        <w:tc>
          <w:tcPr>
            <w:tcW w:w="2291" w:type="dxa"/>
            <w:shd w:val="clear" w:color="auto" w:fill="auto"/>
            <w:vAlign w:val="center"/>
          </w:tcPr>
          <w:p w14:paraId="175BB0D1">
            <w:pPr>
              <w:pStyle w:val="15"/>
              <w:adjustRightInd w:val="0"/>
              <w:snapToGrid w:val="0"/>
              <w:spacing w:line="360" w:lineRule="auto"/>
              <w:jc w:val="center"/>
            </w:pPr>
            <w:r>
              <w:rPr>
                <w:rFonts w:hint="eastAsia"/>
                <w:lang w:val="en-US" w:eastAsia="zh-CN"/>
              </w:rPr>
              <w:t>1</w:t>
            </w:r>
            <w:r>
              <w:t>.5</w:t>
            </w:r>
          </w:p>
        </w:tc>
        <w:tc>
          <w:tcPr>
            <w:tcW w:w="2291" w:type="dxa"/>
            <w:shd w:val="clear" w:color="auto" w:fill="auto"/>
            <w:vAlign w:val="center"/>
          </w:tcPr>
          <w:p w14:paraId="339B0849">
            <w:pPr>
              <w:pStyle w:val="15"/>
              <w:adjustRightInd w:val="0"/>
              <w:snapToGrid w:val="0"/>
              <w:spacing w:line="360" w:lineRule="auto"/>
              <w:jc w:val="center"/>
            </w:pPr>
            <w:r>
              <w:rPr>
                <w:rFonts w:hint="eastAsia"/>
                <w:lang w:val="en-US" w:eastAsia="zh-CN"/>
              </w:rPr>
              <w:t>2</w:t>
            </w:r>
            <w:r>
              <w:t>.0</w:t>
            </w:r>
          </w:p>
        </w:tc>
        <w:tc>
          <w:tcPr>
            <w:tcW w:w="2295" w:type="dxa"/>
            <w:shd w:val="clear" w:color="auto" w:fill="auto"/>
            <w:vAlign w:val="center"/>
          </w:tcPr>
          <w:p w14:paraId="5D99A180">
            <w:pPr>
              <w:pStyle w:val="15"/>
              <w:adjustRightInd w:val="0"/>
              <w:snapToGrid w:val="0"/>
              <w:spacing w:line="360" w:lineRule="auto"/>
              <w:jc w:val="center"/>
              <w:rPr>
                <w:rFonts w:hint="default" w:eastAsia="宋体"/>
                <w:lang w:val="en-US" w:eastAsia="zh-CN"/>
              </w:rPr>
            </w:pPr>
            <w:r>
              <w:rPr>
                <w:rFonts w:hint="eastAsia"/>
              </w:rPr>
              <w:t>0.</w:t>
            </w:r>
            <w:r>
              <w:rPr>
                <w:rFonts w:hint="eastAsia"/>
                <w:lang w:val="en-US" w:eastAsia="zh-CN"/>
              </w:rPr>
              <w:t>41</w:t>
            </w:r>
          </w:p>
        </w:tc>
      </w:tr>
      <w:tr w14:paraId="368797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0" w:type="auto"/>
            <w:vAlign w:val="center"/>
          </w:tcPr>
          <w:p w14:paraId="3EF071B6">
            <w:pPr>
              <w:pStyle w:val="15"/>
              <w:adjustRightInd w:val="0"/>
              <w:snapToGrid w:val="0"/>
              <w:spacing w:line="360" w:lineRule="auto"/>
              <w:jc w:val="center"/>
              <w:rPr>
                <w:rFonts w:hint="default" w:asciiTheme="minorEastAsia" w:hAnsiTheme="minorEastAsia" w:eastAsiaTheme="minorEastAsia"/>
                <w:lang w:val="en-US" w:eastAsia="zh-CN"/>
              </w:rPr>
            </w:pPr>
            <w:r>
              <w:rPr>
                <w:rFonts w:hint="eastAsia" w:eastAsiaTheme="minorEastAsia"/>
                <w:lang w:val="en-US" w:eastAsia="zh-CN"/>
              </w:rPr>
              <w:t>除味喷剂</w:t>
            </w:r>
          </w:p>
        </w:tc>
        <w:tc>
          <w:tcPr>
            <w:tcW w:w="2291" w:type="dxa"/>
            <w:shd w:val="clear" w:color="auto" w:fill="auto"/>
            <w:vAlign w:val="center"/>
          </w:tcPr>
          <w:p w14:paraId="294719C7">
            <w:pPr>
              <w:pStyle w:val="15"/>
              <w:adjustRightInd w:val="0"/>
              <w:snapToGrid w:val="0"/>
              <w:spacing w:line="360" w:lineRule="auto"/>
              <w:jc w:val="center"/>
            </w:pPr>
            <w:r>
              <w:t>1.5</w:t>
            </w:r>
          </w:p>
        </w:tc>
        <w:tc>
          <w:tcPr>
            <w:tcW w:w="2291" w:type="dxa"/>
            <w:shd w:val="clear" w:color="auto" w:fill="auto"/>
            <w:vAlign w:val="center"/>
          </w:tcPr>
          <w:p w14:paraId="27B4A5C9">
            <w:pPr>
              <w:pStyle w:val="15"/>
              <w:adjustRightInd w:val="0"/>
              <w:snapToGrid w:val="0"/>
              <w:spacing w:line="360" w:lineRule="auto"/>
              <w:jc w:val="center"/>
            </w:pPr>
            <w:r>
              <w:t>2.0</w:t>
            </w:r>
          </w:p>
        </w:tc>
        <w:tc>
          <w:tcPr>
            <w:tcW w:w="2291" w:type="dxa"/>
            <w:shd w:val="clear" w:color="auto" w:fill="auto"/>
            <w:vAlign w:val="center"/>
          </w:tcPr>
          <w:p w14:paraId="5848D63A">
            <w:pPr>
              <w:pStyle w:val="15"/>
              <w:adjustRightInd w:val="0"/>
              <w:snapToGrid w:val="0"/>
              <w:spacing w:line="360" w:lineRule="auto"/>
              <w:jc w:val="center"/>
            </w:pPr>
            <w:r>
              <w:t>2.5</w:t>
            </w:r>
          </w:p>
        </w:tc>
        <w:tc>
          <w:tcPr>
            <w:tcW w:w="2291" w:type="dxa"/>
            <w:shd w:val="clear" w:color="auto" w:fill="auto"/>
            <w:vAlign w:val="center"/>
          </w:tcPr>
          <w:p w14:paraId="7D4F5079">
            <w:pPr>
              <w:pStyle w:val="15"/>
              <w:adjustRightInd w:val="0"/>
              <w:snapToGrid w:val="0"/>
              <w:spacing w:line="360" w:lineRule="auto"/>
              <w:jc w:val="center"/>
            </w:pPr>
            <w:r>
              <w:t>2.0</w:t>
            </w:r>
          </w:p>
        </w:tc>
        <w:tc>
          <w:tcPr>
            <w:tcW w:w="2295" w:type="dxa"/>
            <w:shd w:val="clear" w:color="auto" w:fill="auto"/>
            <w:vAlign w:val="center"/>
          </w:tcPr>
          <w:p w14:paraId="66CF3741">
            <w:pPr>
              <w:pStyle w:val="15"/>
              <w:adjustRightInd w:val="0"/>
              <w:snapToGrid w:val="0"/>
              <w:spacing w:line="360" w:lineRule="auto"/>
              <w:jc w:val="center"/>
            </w:pPr>
            <w:r>
              <w:rPr>
                <w:rFonts w:hint="eastAsia"/>
              </w:rPr>
              <w:t>0.35</w:t>
            </w:r>
          </w:p>
        </w:tc>
      </w:tr>
      <w:tr w14:paraId="13AF5F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0" w:type="auto"/>
            <w:vAlign w:val="center"/>
          </w:tcPr>
          <w:p w14:paraId="0AD93481">
            <w:pPr>
              <w:pStyle w:val="15"/>
              <w:adjustRightInd w:val="0"/>
              <w:snapToGrid w:val="0"/>
              <w:spacing w:line="360" w:lineRule="auto"/>
              <w:jc w:val="center"/>
              <w:rPr>
                <w:rFonts w:asciiTheme="minorEastAsia" w:hAnsiTheme="minorEastAsia" w:eastAsiaTheme="minorEastAsia"/>
              </w:rPr>
            </w:pPr>
            <w:r>
              <w:rPr>
                <w:rFonts w:hint="eastAsia" w:hAnsi="Calibri"/>
                <w:sz w:val="24"/>
                <w:szCs w:val="24"/>
                <w:lang w:val="en-US" w:eastAsia="zh-CN"/>
              </w:rPr>
              <w:t>净味功能涂料</w:t>
            </w:r>
          </w:p>
        </w:tc>
        <w:tc>
          <w:tcPr>
            <w:tcW w:w="2291" w:type="dxa"/>
            <w:shd w:val="clear" w:color="auto" w:fill="auto"/>
            <w:vAlign w:val="center"/>
          </w:tcPr>
          <w:p w14:paraId="49BFF614">
            <w:pPr>
              <w:pStyle w:val="15"/>
              <w:adjustRightInd w:val="0"/>
              <w:snapToGrid w:val="0"/>
              <w:spacing w:line="360" w:lineRule="auto"/>
              <w:jc w:val="center"/>
            </w:pPr>
            <w:r>
              <w:rPr>
                <w:rFonts w:hint="eastAsia"/>
                <w:lang w:val="en-US" w:eastAsia="zh-CN"/>
              </w:rPr>
              <w:t>2</w:t>
            </w:r>
            <w:r>
              <w:t>.0</w:t>
            </w:r>
          </w:p>
        </w:tc>
        <w:tc>
          <w:tcPr>
            <w:tcW w:w="2291" w:type="dxa"/>
            <w:shd w:val="clear" w:color="auto" w:fill="auto"/>
            <w:vAlign w:val="center"/>
          </w:tcPr>
          <w:p w14:paraId="64504677">
            <w:pPr>
              <w:pStyle w:val="15"/>
              <w:adjustRightInd w:val="0"/>
              <w:snapToGrid w:val="0"/>
              <w:spacing w:line="360" w:lineRule="auto"/>
              <w:jc w:val="center"/>
            </w:pPr>
            <w:r>
              <w:rPr>
                <w:rFonts w:hint="eastAsia"/>
                <w:lang w:val="en-US" w:eastAsia="zh-CN"/>
              </w:rPr>
              <w:t>2</w:t>
            </w:r>
            <w:r>
              <w:t>.5</w:t>
            </w:r>
          </w:p>
        </w:tc>
        <w:tc>
          <w:tcPr>
            <w:tcW w:w="2291" w:type="dxa"/>
            <w:shd w:val="clear" w:color="auto" w:fill="auto"/>
            <w:vAlign w:val="center"/>
          </w:tcPr>
          <w:p w14:paraId="76AC1DF7">
            <w:pPr>
              <w:pStyle w:val="15"/>
              <w:adjustRightInd w:val="0"/>
              <w:snapToGrid w:val="0"/>
              <w:spacing w:line="360" w:lineRule="auto"/>
              <w:jc w:val="center"/>
            </w:pPr>
            <w:r>
              <w:rPr>
                <w:rFonts w:hint="eastAsia"/>
                <w:lang w:val="en-US" w:eastAsia="zh-CN"/>
              </w:rPr>
              <w:t>2</w:t>
            </w:r>
            <w:r>
              <w:t>.0</w:t>
            </w:r>
          </w:p>
        </w:tc>
        <w:tc>
          <w:tcPr>
            <w:tcW w:w="2291" w:type="dxa"/>
            <w:shd w:val="clear" w:color="auto" w:fill="auto"/>
            <w:vAlign w:val="center"/>
          </w:tcPr>
          <w:p w14:paraId="44068BA9">
            <w:pPr>
              <w:pStyle w:val="15"/>
              <w:adjustRightInd w:val="0"/>
              <w:snapToGrid w:val="0"/>
              <w:spacing w:line="360" w:lineRule="auto"/>
              <w:jc w:val="center"/>
            </w:pPr>
            <w:r>
              <w:rPr>
                <w:rFonts w:hint="eastAsia"/>
                <w:lang w:val="en-US" w:eastAsia="zh-CN"/>
              </w:rPr>
              <w:t>1</w:t>
            </w:r>
            <w:r>
              <w:t>.5</w:t>
            </w:r>
          </w:p>
        </w:tc>
        <w:tc>
          <w:tcPr>
            <w:tcW w:w="2295" w:type="dxa"/>
            <w:shd w:val="clear" w:color="auto" w:fill="auto"/>
            <w:vAlign w:val="center"/>
          </w:tcPr>
          <w:p w14:paraId="4A28A0D8">
            <w:pPr>
              <w:pStyle w:val="15"/>
              <w:adjustRightInd w:val="0"/>
              <w:snapToGrid w:val="0"/>
              <w:spacing w:line="360" w:lineRule="auto"/>
              <w:jc w:val="center"/>
              <w:rPr>
                <w:rFonts w:hint="default" w:eastAsia="宋体"/>
                <w:lang w:val="en-US" w:eastAsia="zh-CN"/>
              </w:rPr>
            </w:pPr>
            <w:r>
              <w:rPr>
                <w:rFonts w:hint="eastAsia"/>
              </w:rPr>
              <w:t>0.</w:t>
            </w:r>
            <w:r>
              <w:rPr>
                <w:rFonts w:hint="eastAsia"/>
                <w:lang w:val="en-US" w:eastAsia="zh-CN"/>
              </w:rPr>
              <w:t>35</w:t>
            </w:r>
          </w:p>
        </w:tc>
      </w:tr>
      <w:tr w14:paraId="10A544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0" w:type="auto"/>
            <w:vAlign w:val="center"/>
          </w:tcPr>
          <w:p w14:paraId="49E1349A">
            <w:pPr>
              <w:pStyle w:val="15"/>
              <w:adjustRightInd w:val="0"/>
              <w:snapToGrid w:val="0"/>
              <w:spacing w:line="360" w:lineRule="auto"/>
              <w:jc w:val="center"/>
              <w:rPr>
                <w:rFonts w:asciiTheme="minorEastAsia" w:hAnsiTheme="minorEastAsia" w:eastAsiaTheme="minorEastAsia"/>
              </w:rPr>
            </w:pPr>
            <w:r>
              <w:rPr>
                <w:rFonts w:hint="eastAsia" w:hAnsi="Calibri"/>
                <w:sz w:val="24"/>
                <w:szCs w:val="24"/>
                <w:lang w:val="en-US" w:eastAsia="zh-CN"/>
              </w:rPr>
              <w:t>净化功能板材</w:t>
            </w:r>
          </w:p>
        </w:tc>
        <w:tc>
          <w:tcPr>
            <w:tcW w:w="2291" w:type="dxa"/>
            <w:shd w:val="clear" w:color="auto" w:fill="auto"/>
            <w:vAlign w:val="center"/>
          </w:tcPr>
          <w:p w14:paraId="5FABD9F3">
            <w:pPr>
              <w:pStyle w:val="15"/>
              <w:adjustRightInd w:val="0"/>
              <w:snapToGrid w:val="0"/>
              <w:spacing w:line="360" w:lineRule="auto"/>
              <w:jc w:val="center"/>
            </w:pPr>
            <w:r>
              <w:rPr>
                <w:rFonts w:hint="eastAsia"/>
                <w:lang w:val="en-US" w:eastAsia="zh-CN"/>
              </w:rPr>
              <w:t>2</w:t>
            </w:r>
            <w:r>
              <w:t>.5</w:t>
            </w:r>
          </w:p>
        </w:tc>
        <w:tc>
          <w:tcPr>
            <w:tcW w:w="2291" w:type="dxa"/>
            <w:shd w:val="clear" w:color="auto" w:fill="auto"/>
            <w:vAlign w:val="center"/>
          </w:tcPr>
          <w:p w14:paraId="5ED52F98">
            <w:pPr>
              <w:pStyle w:val="15"/>
              <w:adjustRightInd w:val="0"/>
              <w:snapToGrid w:val="0"/>
              <w:spacing w:line="360" w:lineRule="auto"/>
              <w:jc w:val="center"/>
            </w:pPr>
            <w:r>
              <w:rPr>
                <w:rFonts w:hint="eastAsia"/>
                <w:lang w:val="en-US" w:eastAsia="zh-CN"/>
              </w:rPr>
              <w:t>2</w:t>
            </w:r>
            <w:r>
              <w:t>.0</w:t>
            </w:r>
          </w:p>
        </w:tc>
        <w:tc>
          <w:tcPr>
            <w:tcW w:w="2291" w:type="dxa"/>
            <w:shd w:val="clear" w:color="auto" w:fill="auto"/>
            <w:vAlign w:val="center"/>
          </w:tcPr>
          <w:p w14:paraId="338FBEC6">
            <w:pPr>
              <w:pStyle w:val="15"/>
              <w:adjustRightInd w:val="0"/>
              <w:snapToGrid w:val="0"/>
              <w:spacing w:line="360" w:lineRule="auto"/>
              <w:jc w:val="center"/>
            </w:pPr>
            <w:r>
              <w:rPr>
                <w:rFonts w:hint="eastAsia"/>
                <w:lang w:val="en-US" w:eastAsia="zh-CN"/>
              </w:rPr>
              <w:t>1</w:t>
            </w:r>
            <w:r>
              <w:t>.5</w:t>
            </w:r>
          </w:p>
        </w:tc>
        <w:tc>
          <w:tcPr>
            <w:tcW w:w="2291" w:type="dxa"/>
            <w:shd w:val="clear" w:color="auto" w:fill="auto"/>
            <w:vAlign w:val="center"/>
          </w:tcPr>
          <w:p w14:paraId="2C9682A1">
            <w:pPr>
              <w:pStyle w:val="15"/>
              <w:adjustRightInd w:val="0"/>
              <w:snapToGrid w:val="0"/>
              <w:spacing w:line="360" w:lineRule="auto"/>
              <w:jc w:val="center"/>
              <w:rPr>
                <w:rFonts w:hint="eastAsia" w:eastAsia="宋体"/>
                <w:lang w:eastAsia="zh-CN"/>
              </w:rPr>
            </w:pPr>
            <w:r>
              <w:rPr>
                <w:rFonts w:hint="eastAsia"/>
                <w:lang w:val="en-US" w:eastAsia="zh-CN"/>
              </w:rPr>
              <w:t>1</w:t>
            </w:r>
            <w:r>
              <w:t>.</w:t>
            </w:r>
            <w:r>
              <w:rPr>
                <w:rFonts w:hint="eastAsia"/>
                <w:lang w:val="en-US" w:eastAsia="zh-CN"/>
              </w:rPr>
              <w:t>5</w:t>
            </w:r>
          </w:p>
        </w:tc>
        <w:tc>
          <w:tcPr>
            <w:tcW w:w="2295" w:type="dxa"/>
            <w:shd w:val="clear" w:color="auto" w:fill="auto"/>
            <w:vAlign w:val="center"/>
          </w:tcPr>
          <w:p w14:paraId="251E2605">
            <w:pPr>
              <w:pStyle w:val="15"/>
              <w:adjustRightInd w:val="0"/>
              <w:snapToGrid w:val="0"/>
              <w:spacing w:line="360" w:lineRule="auto"/>
              <w:jc w:val="center"/>
              <w:rPr>
                <w:rFonts w:hint="default" w:eastAsia="宋体"/>
                <w:lang w:val="en-US" w:eastAsia="zh-CN"/>
              </w:rPr>
            </w:pPr>
            <w:r>
              <w:rPr>
                <w:rFonts w:hint="eastAsia"/>
              </w:rPr>
              <w:t>0.</w:t>
            </w:r>
            <w:r>
              <w:rPr>
                <w:rFonts w:hint="eastAsia"/>
                <w:lang w:val="en-US" w:eastAsia="zh-CN"/>
              </w:rPr>
              <w:t>41</w:t>
            </w:r>
          </w:p>
        </w:tc>
      </w:tr>
      <w:tr w14:paraId="721519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0" w:type="auto"/>
            <w:vAlign w:val="center"/>
          </w:tcPr>
          <w:p w14:paraId="2F50A5B6">
            <w:pPr>
              <w:pStyle w:val="15"/>
              <w:adjustRightInd w:val="0"/>
              <w:snapToGrid w:val="0"/>
              <w:spacing w:line="360" w:lineRule="auto"/>
              <w:jc w:val="center"/>
              <w:rPr>
                <w:rFonts w:hint="default" w:asciiTheme="minorEastAsia" w:hAnsiTheme="minorEastAsia" w:eastAsiaTheme="minorEastAsia"/>
                <w:lang w:val="en-US" w:eastAsia="zh-CN"/>
              </w:rPr>
            </w:pPr>
            <w:r>
              <w:rPr>
                <w:rFonts w:hint="eastAsia" w:eastAsiaTheme="minorEastAsia"/>
                <w:lang w:val="en-US" w:eastAsia="zh-CN"/>
              </w:rPr>
              <w:t>净化滤网材料</w:t>
            </w:r>
          </w:p>
        </w:tc>
        <w:tc>
          <w:tcPr>
            <w:tcW w:w="2291" w:type="dxa"/>
            <w:shd w:val="clear" w:color="auto" w:fill="auto"/>
            <w:vAlign w:val="center"/>
          </w:tcPr>
          <w:p w14:paraId="43F20A83">
            <w:pPr>
              <w:pStyle w:val="15"/>
              <w:adjustRightInd w:val="0"/>
              <w:snapToGrid w:val="0"/>
              <w:spacing w:line="360" w:lineRule="auto"/>
              <w:jc w:val="center"/>
            </w:pPr>
            <w:r>
              <w:t>3.0</w:t>
            </w:r>
          </w:p>
        </w:tc>
        <w:tc>
          <w:tcPr>
            <w:tcW w:w="2291" w:type="dxa"/>
            <w:shd w:val="clear" w:color="auto" w:fill="auto"/>
            <w:vAlign w:val="center"/>
          </w:tcPr>
          <w:p w14:paraId="378A23CC">
            <w:pPr>
              <w:pStyle w:val="15"/>
              <w:adjustRightInd w:val="0"/>
              <w:snapToGrid w:val="0"/>
              <w:spacing w:line="360" w:lineRule="auto"/>
              <w:jc w:val="center"/>
            </w:pPr>
            <w:r>
              <w:t>3.5</w:t>
            </w:r>
          </w:p>
        </w:tc>
        <w:tc>
          <w:tcPr>
            <w:tcW w:w="2291" w:type="dxa"/>
            <w:shd w:val="clear" w:color="auto" w:fill="auto"/>
            <w:vAlign w:val="center"/>
          </w:tcPr>
          <w:p w14:paraId="498C2BA4">
            <w:pPr>
              <w:pStyle w:val="15"/>
              <w:adjustRightInd w:val="0"/>
              <w:snapToGrid w:val="0"/>
              <w:spacing w:line="360" w:lineRule="auto"/>
              <w:jc w:val="center"/>
            </w:pPr>
            <w:r>
              <w:t>3.0</w:t>
            </w:r>
          </w:p>
        </w:tc>
        <w:tc>
          <w:tcPr>
            <w:tcW w:w="2291" w:type="dxa"/>
            <w:shd w:val="clear" w:color="auto" w:fill="auto"/>
            <w:vAlign w:val="center"/>
          </w:tcPr>
          <w:p w14:paraId="217306F3">
            <w:pPr>
              <w:pStyle w:val="15"/>
              <w:adjustRightInd w:val="0"/>
              <w:snapToGrid w:val="0"/>
              <w:spacing w:line="360" w:lineRule="auto"/>
              <w:jc w:val="center"/>
            </w:pPr>
            <w:r>
              <w:t>3.5</w:t>
            </w:r>
          </w:p>
        </w:tc>
        <w:tc>
          <w:tcPr>
            <w:tcW w:w="2295" w:type="dxa"/>
            <w:shd w:val="clear" w:color="auto" w:fill="auto"/>
            <w:vAlign w:val="center"/>
          </w:tcPr>
          <w:p w14:paraId="54DE5FFC">
            <w:pPr>
              <w:pStyle w:val="15"/>
              <w:adjustRightInd w:val="0"/>
              <w:snapToGrid w:val="0"/>
              <w:spacing w:line="360" w:lineRule="auto"/>
              <w:jc w:val="center"/>
            </w:pPr>
            <w:r>
              <w:rPr>
                <w:rFonts w:hint="eastAsia"/>
              </w:rPr>
              <w:t>0.25</w:t>
            </w:r>
          </w:p>
        </w:tc>
      </w:tr>
      <w:tr w14:paraId="0D3CE1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0" w:type="auto"/>
            <w:vAlign w:val="center"/>
          </w:tcPr>
          <w:p w14:paraId="2E8E32E4">
            <w:pPr>
              <w:pStyle w:val="15"/>
              <w:adjustRightInd w:val="0"/>
              <w:snapToGrid w:val="0"/>
              <w:spacing w:line="360" w:lineRule="auto"/>
              <w:jc w:val="center"/>
              <w:rPr>
                <w:rFonts w:hint="default" w:ascii="Times New Roman" w:hAnsi="Times New Roman"/>
                <w:color w:val="000000"/>
                <w:szCs w:val="21"/>
                <w:lang w:val="en-US"/>
              </w:rPr>
            </w:pPr>
            <w:r>
              <w:rPr>
                <w:rFonts w:hint="eastAsia" w:eastAsiaTheme="minorEastAsia"/>
                <w:lang w:val="en-US" w:eastAsia="zh-CN"/>
              </w:rPr>
              <w:t>复合净味颗粒-2</w:t>
            </w:r>
          </w:p>
        </w:tc>
        <w:tc>
          <w:tcPr>
            <w:tcW w:w="2291" w:type="dxa"/>
            <w:shd w:val="clear" w:color="auto" w:fill="auto"/>
            <w:vAlign w:val="center"/>
          </w:tcPr>
          <w:p w14:paraId="20431532">
            <w:pPr>
              <w:pStyle w:val="15"/>
              <w:adjustRightInd w:val="0"/>
              <w:snapToGrid w:val="0"/>
              <w:spacing w:line="360" w:lineRule="auto"/>
              <w:jc w:val="center"/>
            </w:pPr>
            <w:r>
              <w:rPr>
                <w:rFonts w:hint="eastAsia"/>
                <w:lang w:val="en-US" w:eastAsia="zh-CN"/>
              </w:rPr>
              <w:t>1</w:t>
            </w:r>
            <w:r>
              <w:t>.0</w:t>
            </w:r>
          </w:p>
        </w:tc>
        <w:tc>
          <w:tcPr>
            <w:tcW w:w="2291" w:type="dxa"/>
            <w:shd w:val="clear" w:color="auto" w:fill="auto"/>
            <w:vAlign w:val="center"/>
          </w:tcPr>
          <w:p w14:paraId="4890D3C3">
            <w:pPr>
              <w:pStyle w:val="15"/>
              <w:adjustRightInd w:val="0"/>
              <w:snapToGrid w:val="0"/>
              <w:spacing w:line="360" w:lineRule="auto"/>
              <w:jc w:val="center"/>
            </w:pPr>
            <w:r>
              <w:rPr>
                <w:rFonts w:hint="eastAsia"/>
                <w:lang w:val="en-US" w:eastAsia="zh-CN"/>
              </w:rPr>
              <w:t>2</w:t>
            </w:r>
            <w:r>
              <w:t>.0</w:t>
            </w:r>
          </w:p>
        </w:tc>
        <w:tc>
          <w:tcPr>
            <w:tcW w:w="2291" w:type="dxa"/>
            <w:shd w:val="clear" w:color="auto" w:fill="auto"/>
            <w:vAlign w:val="center"/>
          </w:tcPr>
          <w:p w14:paraId="7718CD4F">
            <w:pPr>
              <w:pStyle w:val="15"/>
              <w:adjustRightInd w:val="0"/>
              <w:snapToGrid w:val="0"/>
              <w:spacing w:line="360" w:lineRule="auto"/>
              <w:jc w:val="center"/>
            </w:pPr>
            <w:r>
              <w:rPr>
                <w:rFonts w:hint="eastAsia"/>
                <w:lang w:val="en-US" w:eastAsia="zh-CN"/>
              </w:rPr>
              <w:t>1</w:t>
            </w:r>
            <w:r>
              <w:t>.5</w:t>
            </w:r>
          </w:p>
        </w:tc>
        <w:tc>
          <w:tcPr>
            <w:tcW w:w="2291" w:type="dxa"/>
            <w:shd w:val="clear" w:color="auto" w:fill="auto"/>
            <w:vAlign w:val="center"/>
          </w:tcPr>
          <w:p w14:paraId="0D893801">
            <w:pPr>
              <w:pStyle w:val="15"/>
              <w:adjustRightInd w:val="0"/>
              <w:snapToGrid w:val="0"/>
              <w:spacing w:line="360" w:lineRule="auto"/>
              <w:jc w:val="center"/>
            </w:pPr>
            <w:r>
              <w:rPr>
                <w:rFonts w:hint="eastAsia"/>
                <w:lang w:val="en-US" w:eastAsia="zh-CN"/>
              </w:rPr>
              <w:t>1</w:t>
            </w:r>
            <w:r>
              <w:t>.5</w:t>
            </w:r>
          </w:p>
        </w:tc>
        <w:tc>
          <w:tcPr>
            <w:tcW w:w="2295" w:type="dxa"/>
            <w:shd w:val="clear" w:color="auto" w:fill="auto"/>
            <w:vAlign w:val="center"/>
          </w:tcPr>
          <w:p w14:paraId="64362BD8">
            <w:pPr>
              <w:pStyle w:val="15"/>
              <w:adjustRightInd w:val="0"/>
              <w:snapToGrid w:val="0"/>
              <w:spacing w:line="360" w:lineRule="auto"/>
              <w:jc w:val="center"/>
              <w:rPr>
                <w:rFonts w:hint="default" w:eastAsia="宋体"/>
                <w:lang w:val="en-US" w:eastAsia="zh-CN"/>
              </w:rPr>
            </w:pPr>
            <w:r>
              <w:rPr>
                <w:rFonts w:hint="eastAsia"/>
              </w:rPr>
              <w:t>0.</w:t>
            </w:r>
            <w:r>
              <w:rPr>
                <w:rFonts w:hint="eastAsia"/>
                <w:lang w:val="en-US" w:eastAsia="zh-CN"/>
              </w:rPr>
              <w:t>35</w:t>
            </w:r>
          </w:p>
        </w:tc>
      </w:tr>
      <w:bookmarkEnd w:id="56"/>
    </w:tbl>
    <w:p w14:paraId="1A127AB8">
      <w:pPr>
        <w:pStyle w:val="29"/>
        <w:spacing w:line="360" w:lineRule="auto"/>
        <w:ind w:firstLine="483"/>
        <w:rPr>
          <w:rStyle w:val="20"/>
          <w:b w:val="0"/>
          <w:bCs/>
          <w:sz w:val="24"/>
          <w:szCs w:val="24"/>
        </w:rPr>
      </w:pPr>
      <w:r>
        <w:rPr>
          <w:rFonts w:hint="eastAsia"/>
          <w:bCs/>
          <w:sz w:val="24"/>
          <w:szCs w:val="24"/>
        </w:rPr>
        <w:t>根据表A</w:t>
      </w:r>
      <w:r>
        <w:rPr>
          <w:bCs/>
          <w:sz w:val="24"/>
          <w:szCs w:val="24"/>
        </w:rPr>
        <w:t>.</w:t>
      </w:r>
      <w:r>
        <w:rPr>
          <w:rFonts w:hint="eastAsia"/>
          <w:bCs/>
          <w:sz w:val="24"/>
          <w:szCs w:val="24"/>
          <w:lang w:val="en-US" w:eastAsia="zh-CN"/>
        </w:rPr>
        <w:t>2</w:t>
      </w:r>
      <w:r>
        <w:rPr>
          <w:bCs/>
          <w:sz w:val="24"/>
          <w:szCs w:val="24"/>
        </w:rPr>
        <w:t>的结果可以看出，不同实验室间</w:t>
      </w:r>
      <w:r>
        <w:rPr>
          <w:rFonts w:hint="eastAsia"/>
          <w:bCs/>
          <w:sz w:val="24"/>
          <w:szCs w:val="24"/>
        </w:rPr>
        <w:t>的测试结果的精密度满足要求，具有良好的再现性。</w:t>
      </w:r>
    </w:p>
    <w:p w14:paraId="50341790">
      <w:pPr>
        <w:pStyle w:val="63"/>
        <w:spacing w:before="156" w:after="156" w:line="360" w:lineRule="auto"/>
        <w:rPr>
          <w:rStyle w:val="20"/>
          <w:rFonts w:ascii="Times New Roman"/>
          <w:b w:val="0"/>
          <w:sz w:val="24"/>
          <w:szCs w:val="24"/>
        </w:rPr>
      </w:pPr>
      <w:r>
        <w:rPr>
          <w:rStyle w:val="20"/>
          <w:rFonts w:ascii="Times New Roman"/>
          <w:b w:val="0"/>
          <w:sz w:val="24"/>
          <w:szCs w:val="24"/>
        </w:rPr>
        <w:t>3</w:t>
      </w:r>
      <w:r>
        <w:rPr>
          <w:rStyle w:val="20"/>
          <w:rFonts w:hint="eastAsia" w:ascii="Times New Roman"/>
          <w:b w:val="0"/>
          <w:sz w:val="24"/>
          <w:szCs w:val="24"/>
        </w:rPr>
        <w:t>、实际样品测定</w:t>
      </w:r>
    </w:p>
    <w:p w14:paraId="7978DC8E">
      <w:pPr>
        <w:pStyle w:val="29"/>
        <w:spacing w:line="360" w:lineRule="auto"/>
        <w:ind w:firstLine="483"/>
        <w:rPr>
          <w:sz w:val="24"/>
          <w:szCs w:val="24"/>
        </w:rPr>
      </w:pPr>
      <w:r>
        <w:rPr>
          <w:rFonts w:hint="eastAsia"/>
          <w:sz w:val="24"/>
          <w:szCs w:val="24"/>
        </w:rPr>
        <w:t>挑选</w:t>
      </w:r>
      <w:r>
        <w:rPr>
          <w:rFonts w:hint="eastAsia"/>
          <w:sz w:val="24"/>
          <w:szCs w:val="24"/>
          <w:lang w:val="en-US" w:eastAsia="zh-CN"/>
        </w:rPr>
        <w:t>33</w:t>
      </w:r>
      <w:r>
        <w:rPr>
          <w:rFonts w:hint="eastAsia"/>
          <w:sz w:val="24"/>
          <w:szCs w:val="24"/>
        </w:rPr>
        <w:t>个不同类型的</w:t>
      </w:r>
      <w:r>
        <w:rPr>
          <w:rFonts w:hint="eastAsia"/>
          <w:sz w:val="24"/>
          <w:szCs w:val="24"/>
          <w:lang w:val="en-US" w:eastAsia="zh-CN"/>
        </w:rPr>
        <w:t>空气净化</w:t>
      </w:r>
      <w:r>
        <w:rPr>
          <w:rFonts w:hint="eastAsia"/>
          <w:sz w:val="24"/>
          <w:szCs w:val="24"/>
        </w:rPr>
        <w:t>材料进行验证试验，以下为试验数据：</w:t>
      </w:r>
    </w:p>
    <w:p w14:paraId="2CB22D59">
      <w:pPr>
        <w:pStyle w:val="29"/>
        <w:spacing w:before="156" w:beforeLines="50" w:line="360" w:lineRule="auto"/>
        <w:ind w:firstLine="483"/>
        <w:jc w:val="center"/>
        <w:rPr>
          <w:sz w:val="24"/>
          <w:szCs w:val="24"/>
        </w:rPr>
      </w:pPr>
      <w:r>
        <w:rPr>
          <w:rFonts w:hint="eastAsia"/>
          <w:sz w:val="24"/>
          <w:szCs w:val="24"/>
        </w:rPr>
        <w:t>表A</w:t>
      </w:r>
      <w:r>
        <w:rPr>
          <w:sz w:val="24"/>
          <w:szCs w:val="24"/>
        </w:rPr>
        <w:t>.</w:t>
      </w:r>
      <w:r>
        <w:rPr>
          <w:rFonts w:hint="eastAsia"/>
          <w:sz w:val="24"/>
          <w:szCs w:val="24"/>
          <w:lang w:val="en-US" w:eastAsia="zh-CN"/>
        </w:rPr>
        <w:t>3</w:t>
      </w:r>
      <w:r>
        <w:rPr>
          <w:sz w:val="24"/>
          <w:szCs w:val="24"/>
        </w:rPr>
        <w:t xml:space="preserve"> </w:t>
      </w:r>
      <w:r>
        <w:rPr>
          <w:rFonts w:hint="eastAsia"/>
          <w:sz w:val="24"/>
          <w:szCs w:val="24"/>
        </w:rPr>
        <w:t>实验数据汇总</w:t>
      </w:r>
    </w:p>
    <w:tbl>
      <w:tblPr>
        <w:tblStyle w:val="17"/>
        <w:tblW w:w="13599" w:type="dxa"/>
        <w:tblInd w:w="152" w:type="dxa"/>
        <w:tblLayout w:type="autofit"/>
        <w:tblCellMar>
          <w:top w:w="0" w:type="dxa"/>
          <w:left w:w="0" w:type="dxa"/>
          <w:bottom w:w="0" w:type="dxa"/>
          <w:right w:w="0" w:type="dxa"/>
        </w:tblCellMar>
      </w:tblPr>
      <w:tblGrid>
        <w:gridCol w:w="1263"/>
        <w:gridCol w:w="3743"/>
        <w:gridCol w:w="4571"/>
        <w:gridCol w:w="4022"/>
      </w:tblGrid>
      <w:tr w14:paraId="22ADEC99">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4A826940">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序号</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80CA5C1">
            <w:pPr>
              <w:widowControl/>
              <w:jc w:val="center"/>
              <w:rPr>
                <w:rFonts w:ascii="宋体" w:hAnsi="宋体" w:cs="Arial"/>
                <w:i w:val="0"/>
                <w:iCs w:val="0"/>
                <w:kern w:val="0"/>
                <w:sz w:val="24"/>
                <w:szCs w:val="24"/>
              </w:rPr>
            </w:pPr>
            <w:r>
              <w:rPr>
                <w:rFonts w:hint="eastAsia" w:ascii="宋体" w:hAnsi="宋体"/>
                <w:i w:val="0"/>
                <w:iCs w:val="0"/>
                <w:color w:val="000000" w:themeColor="text1"/>
                <w:sz w:val="24"/>
                <w:szCs w:val="24"/>
                <w14:textFill>
                  <w14:solidFill>
                    <w14:schemeClr w14:val="tx1"/>
                  </w14:solidFill>
                </w14:textFill>
              </w:rPr>
              <w:t>产品类型</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83F86FF">
            <w:pPr>
              <w:widowControl/>
              <w:jc w:val="center"/>
              <w:rPr>
                <w:rFonts w:hint="default" w:ascii="宋体" w:hAnsi="宋体" w:eastAsia="宋体" w:cs="Arial"/>
                <w:i w:val="0"/>
                <w:iCs w:val="0"/>
                <w:kern w:val="0"/>
                <w:sz w:val="24"/>
                <w:szCs w:val="24"/>
                <w:lang w:val="en-US" w:eastAsia="zh-CN"/>
              </w:rPr>
            </w:pPr>
            <w:r>
              <w:rPr>
                <w:rFonts w:hint="eastAsia" w:ascii="宋体" w:hAnsi="宋体"/>
                <w:i w:val="0"/>
                <w:iCs w:val="0"/>
                <w:color w:val="000000" w:themeColor="text1"/>
                <w:sz w:val="24"/>
                <w:szCs w:val="24"/>
                <w14:textFill>
                  <w14:solidFill>
                    <w14:schemeClr w14:val="tx1"/>
                  </w14:solidFill>
                </w14:textFill>
              </w:rPr>
              <w:t>气味强度</w:t>
            </w:r>
            <w:r>
              <w:rPr>
                <w:rFonts w:hint="eastAsia" w:ascii="宋体" w:hAnsi="宋体"/>
                <w:i w:val="0"/>
                <w:iCs w:val="0"/>
                <w:color w:val="000000" w:themeColor="text1"/>
                <w:sz w:val="24"/>
                <w:szCs w:val="24"/>
                <w:lang w:val="en-US" w:eastAsia="zh-CN"/>
                <w14:textFill>
                  <w14:solidFill>
                    <w14:schemeClr w14:val="tx1"/>
                  </w14:solidFill>
                </w14:textFill>
              </w:rPr>
              <w:t>差值</w:t>
            </w:r>
            <m:oMath>
              <m:r>
                <m:rPr>
                  <m:sty m:val="p"/>
                </m:rPr>
                <w:rPr>
                  <w:rFonts w:ascii="Cambria Math" w:hAnsi="Cambria Math"/>
                  <w:sz w:val="24"/>
                  <w:szCs w:val="24"/>
                </w:rPr>
                <m:t>∆</m:t>
              </m:r>
              <m:r>
                <m:rPr>
                  <m:sty m:val="p"/>
                </m:rPr>
                <w:rPr>
                  <w:rFonts w:hint="default" w:ascii="Cambria Math" w:hAnsi="Cambria Math"/>
                  <w:sz w:val="24"/>
                  <w:szCs w:val="24"/>
                  <w:lang w:val="en-US" w:eastAsia="zh-CN"/>
                </w:rPr>
                <m:t>OI</m:t>
              </m:r>
            </m:oMath>
            <w:r>
              <w:rPr>
                <w:rFonts w:hint="eastAsia" w:hAnsi="Cambria Math"/>
                <w:b w:val="0"/>
                <w:i w:val="0"/>
                <w:sz w:val="24"/>
                <w:szCs w:val="24"/>
                <w:lang w:val="en-US" w:eastAsia="zh-CN"/>
              </w:rPr>
              <w:t>/级</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DF09C6D">
            <w:pPr>
              <w:widowControl/>
              <w:jc w:val="center"/>
              <w:rPr>
                <w:rFonts w:ascii="宋体" w:hAnsi="宋体" w:cs="Arial"/>
                <w:i w:val="0"/>
                <w:iCs w:val="0"/>
                <w:kern w:val="0"/>
                <w:sz w:val="24"/>
                <w:szCs w:val="24"/>
              </w:rPr>
            </w:pPr>
            <w:r>
              <w:rPr>
                <w:rFonts w:hint="eastAsia" w:ascii="宋体" w:hAnsi="宋体"/>
                <w:i w:val="0"/>
                <w:iCs w:val="0"/>
                <w:color w:val="000000" w:themeColor="text1"/>
                <w:sz w:val="24"/>
                <w:szCs w:val="24"/>
                <w14:textFill>
                  <w14:solidFill>
                    <w14:schemeClr w14:val="tx1"/>
                  </w14:solidFill>
                </w14:textFill>
              </w:rPr>
              <w:t>判定等级</w:t>
            </w:r>
          </w:p>
        </w:tc>
      </w:tr>
      <w:tr w14:paraId="1A1EC372">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055A6BBF">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1</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8E440C5">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活性炭-1</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795C338">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2.5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F131522">
            <w:pPr>
              <w:widowControl/>
              <w:jc w:val="center"/>
              <w:rPr>
                <w:rFonts w:hint="eastAsia" w:ascii="宋体" w:hAnsi="宋体" w:eastAsia="宋体" w:cs="Arial"/>
                <w:i w:val="0"/>
                <w:iCs w:val="0"/>
                <w:kern w:val="0"/>
                <w:sz w:val="24"/>
                <w:szCs w:val="24"/>
                <w:lang w:val="en-US" w:eastAsia="zh-CN"/>
              </w:rPr>
            </w:pPr>
            <w:r>
              <w:rPr>
                <w:rFonts w:hint="eastAsia" w:ascii="宋体" w:hAnsi="宋体" w:cs="Arial"/>
                <w:i w:val="0"/>
                <w:iCs w:val="0"/>
                <w:kern w:val="0"/>
                <w:sz w:val="24"/>
                <w:szCs w:val="24"/>
              </w:rPr>
              <w:t>A</w:t>
            </w:r>
            <w:r>
              <w:rPr>
                <w:rFonts w:hint="eastAsia" w:ascii="宋体" w:hAnsi="宋体" w:cs="Arial"/>
                <w:i w:val="0"/>
                <w:iCs w:val="0"/>
                <w:kern w:val="0"/>
                <w:sz w:val="24"/>
                <w:szCs w:val="24"/>
                <w:lang w:val="en-US" w:eastAsia="zh-CN"/>
              </w:rPr>
              <w:t>A</w:t>
            </w:r>
          </w:p>
        </w:tc>
      </w:tr>
      <w:tr w14:paraId="7D75DE67">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293CBD43">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2</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A358CCF">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活性炭-2</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3679008">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1.5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3F15C7D">
            <w:pPr>
              <w:widowControl/>
              <w:jc w:val="center"/>
              <w:rPr>
                <w:rFonts w:hint="eastAsia" w:ascii="宋体" w:hAnsi="宋体" w:eastAsia="宋体" w:cs="Arial"/>
                <w:i w:val="0"/>
                <w:iCs w:val="0"/>
                <w:kern w:val="0"/>
                <w:sz w:val="24"/>
                <w:szCs w:val="24"/>
                <w:lang w:eastAsia="zh-CN"/>
              </w:rPr>
            </w:pPr>
            <w:r>
              <w:rPr>
                <w:rFonts w:hint="eastAsia" w:ascii="宋体" w:hAnsi="宋体" w:cs="Arial"/>
                <w:i w:val="0"/>
                <w:iCs w:val="0"/>
                <w:kern w:val="0"/>
                <w:sz w:val="24"/>
                <w:szCs w:val="24"/>
                <w:lang w:val="en-US" w:eastAsia="zh-CN"/>
              </w:rPr>
              <w:t>A</w:t>
            </w:r>
          </w:p>
        </w:tc>
      </w:tr>
      <w:tr w14:paraId="698CF70A">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2DE2220F">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3</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741710A">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活性炭-3</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49A7370">
            <w:pPr>
              <w:widowControl/>
              <w:jc w:val="center"/>
              <w:rPr>
                <w:rFonts w:hint="eastAsia" w:ascii="宋体" w:hAnsi="宋体" w:eastAsia="宋体"/>
                <w:i w:val="0"/>
                <w:iCs w:val="0"/>
                <w:color w:val="000000" w:themeColor="text1"/>
                <w:sz w:val="24"/>
                <w:szCs w:val="24"/>
                <w:lang w:eastAsia="zh-CN"/>
                <w14:textFill>
                  <w14:solidFill>
                    <w14:schemeClr w14:val="tx1"/>
                  </w14:solidFill>
                </w14:textFill>
              </w:rPr>
            </w:pPr>
            <w:r>
              <w:rPr>
                <w:rFonts w:ascii="宋体" w:hAnsi="宋体"/>
                <w:i w:val="0"/>
                <w:iCs w:val="0"/>
                <w:color w:val="000000" w:themeColor="text1"/>
                <w:sz w:val="24"/>
                <w:szCs w:val="24"/>
                <w14:textFill>
                  <w14:solidFill>
                    <w14:schemeClr w14:val="tx1"/>
                  </w14:solidFill>
                </w14:textFill>
              </w:rPr>
              <w:t>1</w:t>
            </w:r>
            <w:r>
              <w:rPr>
                <w:rFonts w:hint="eastAsia" w:ascii="宋体" w:hAnsi="宋体"/>
                <w:i w:val="0"/>
                <w:iCs w:val="0"/>
                <w:color w:val="000000" w:themeColor="text1"/>
                <w:sz w:val="24"/>
                <w:szCs w:val="24"/>
                <w14:textFill>
                  <w14:solidFill>
                    <w14:schemeClr w14:val="tx1"/>
                  </w14:solidFill>
                </w14:textFill>
              </w:rPr>
              <w:t>.</w:t>
            </w:r>
            <w:r>
              <w:rPr>
                <w:rFonts w:hint="eastAsia" w:ascii="宋体" w:hAnsi="宋体"/>
                <w:i w:val="0"/>
                <w:iCs w:val="0"/>
                <w:color w:val="000000" w:themeColor="text1"/>
                <w:sz w:val="24"/>
                <w:szCs w:val="24"/>
                <w:lang w:val="en-US" w:eastAsia="zh-CN"/>
                <w14:textFill>
                  <w14:solidFill>
                    <w14:schemeClr w14:val="tx1"/>
                  </w14:solidFill>
                </w14:textFill>
              </w:rPr>
              <w:t>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792E5F6">
            <w:pPr>
              <w:widowControl/>
              <w:jc w:val="center"/>
              <w:rPr>
                <w:rFonts w:ascii="宋体" w:hAnsi="宋体" w:cs="Arial"/>
                <w:i w:val="0"/>
                <w:iCs w:val="0"/>
                <w:kern w:val="0"/>
                <w:sz w:val="24"/>
                <w:szCs w:val="24"/>
              </w:rPr>
            </w:pPr>
            <w:r>
              <w:rPr>
                <w:rFonts w:ascii="宋体" w:hAnsi="宋体" w:cs="Arial"/>
                <w:i w:val="0"/>
                <w:iCs w:val="0"/>
                <w:kern w:val="0"/>
                <w:sz w:val="24"/>
                <w:szCs w:val="24"/>
              </w:rPr>
              <w:t>A</w:t>
            </w:r>
          </w:p>
        </w:tc>
      </w:tr>
      <w:tr w14:paraId="08D66402">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5FEE3151">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4</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FE6E5D6">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活性炭-4</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80C34C8">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3</w:t>
            </w:r>
            <w:r>
              <w:rPr>
                <w:rFonts w:hint="eastAsia" w:ascii="宋体" w:hAnsi="宋体"/>
                <w:i w:val="0"/>
                <w:iCs w:val="0"/>
                <w:color w:val="000000" w:themeColor="text1"/>
                <w:sz w:val="24"/>
                <w:szCs w:val="24"/>
                <w14:textFill>
                  <w14:solidFill>
                    <w14:schemeClr w14:val="tx1"/>
                  </w14:solidFill>
                </w14:textFill>
              </w:rPr>
              <w:t>.0</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773998C">
            <w:pPr>
              <w:widowControl/>
              <w:jc w:val="center"/>
              <w:rPr>
                <w:rFonts w:hint="default" w:ascii="宋体" w:hAnsi="宋体" w:cs="Arial"/>
                <w:i w:val="0"/>
                <w:iCs w:val="0"/>
                <w:kern w:val="0"/>
                <w:sz w:val="24"/>
                <w:szCs w:val="24"/>
                <w:lang w:val="en-US"/>
              </w:rPr>
            </w:pPr>
            <w:r>
              <w:rPr>
                <w:rFonts w:hint="eastAsia" w:ascii="宋体" w:hAnsi="宋体" w:cs="Arial"/>
                <w:i w:val="0"/>
                <w:iCs w:val="0"/>
                <w:kern w:val="0"/>
                <w:sz w:val="24"/>
                <w:szCs w:val="24"/>
              </w:rPr>
              <w:t>A</w:t>
            </w:r>
            <w:r>
              <w:rPr>
                <w:rFonts w:hint="eastAsia" w:ascii="宋体" w:hAnsi="宋体" w:cs="Arial"/>
                <w:i w:val="0"/>
                <w:iCs w:val="0"/>
                <w:kern w:val="0"/>
                <w:sz w:val="24"/>
                <w:szCs w:val="24"/>
                <w:lang w:val="en-US" w:eastAsia="zh-CN"/>
              </w:rPr>
              <w:t>AA</w:t>
            </w:r>
          </w:p>
        </w:tc>
      </w:tr>
      <w:tr w14:paraId="427ABF23">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23C75388">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5</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0DC41BA">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活性炭-5</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CD254B0">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2.5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DC966D4">
            <w:pPr>
              <w:widowControl/>
              <w:jc w:val="center"/>
              <w:rPr>
                <w:rFonts w:ascii="宋体" w:hAnsi="宋体" w:cs="Arial"/>
                <w:i w:val="0"/>
                <w:iCs w:val="0"/>
                <w:kern w:val="0"/>
                <w:sz w:val="24"/>
                <w:szCs w:val="24"/>
              </w:rPr>
            </w:pPr>
            <w:r>
              <w:rPr>
                <w:rFonts w:hint="eastAsia" w:ascii="宋体" w:hAnsi="宋体" w:cs="Arial"/>
                <w:i w:val="0"/>
                <w:iCs w:val="0"/>
                <w:kern w:val="0"/>
                <w:sz w:val="24"/>
                <w:szCs w:val="24"/>
              </w:rPr>
              <w:t>A</w:t>
            </w:r>
            <w:r>
              <w:rPr>
                <w:rFonts w:hint="eastAsia" w:ascii="宋体" w:hAnsi="宋体" w:cs="Arial"/>
                <w:i w:val="0"/>
                <w:iCs w:val="0"/>
                <w:kern w:val="0"/>
                <w:sz w:val="24"/>
                <w:szCs w:val="24"/>
                <w:lang w:val="en-US" w:eastAsia="zh-CN"/>
              </w:rPr>
              <w:t>A</w:t>
            </w:r>
          </w:p>
        </w:tc>
      </w:tr>
      <w:tr w14:paraId="6960B969">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7A037FAC">
            <w:pPr>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6</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345E124">
            <w:pPr>
              <w:pStyle w:val="29"/>
              <w:adjustRightInd w:val="0"/>
              <w:snapToGrid w:val="0"/>
              <w:ind w:firstLine="0" w:firstLineChars="0"/>
              <w:jc w:val="center"/>
              <w:rPr>
                <w:rFonts w:ascii="宋体" w:hAnsi="宋体"/>
                <w:i w:val="0"/>
                <w:iCs w:val="0"/>
                <w:color w:val="000000" w:themeColor="text1"/>
                <w:sz w:val="24"/>
                <w:szCs w:val="24"/>
                <w14:textFill>
                  <w14:solidFill>
                    <w14:schemeClr w14:val="tx1"/>
                  </w14:solidFill>
                </w14:textFill>
              </w:rPr>
            </w:pPr>
            <w:r>
              <w:rPr>
                <w:rFonts w:hint="eastAsia" w:hAnsi="Calibri"/>
                <w:sz w:val="24"/>
                <w:szCs w:val="24"/>
                <w:lang w:val="en-US" w:eastAsia="zh-CN"/>
              </w:rPr>
              <w:t>净味功能涂料-1</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ADB256D">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1.5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779DEB0">
            <w:pPr>
              <w:widowControl/>
              <w:jc w:val="center"/>
              <w:rPr>
                <w:rFonts w:ascii="宋体" w:hAnsi="宋体" w:cs="Arial"/>
                <w:i w:val="0"/>
                <w:iCs w:val="0"/>
                <w:kern w:val="0"/>
                <w:sz w:val="24"/>
                <w:szCs w:val="24"/>
              </w:rPr>
            </w:pPr>
            <w:r>
              <w:rPr>
                <w:rFonts w:ascii="宋体" w:hAnsi="宋体" w:cs="Arial"/>
                <w:i w:val="0"/>
                <w:iCs w:val="0"/>
                <w:kern w:val="0"/>
                <w:sz w:val="24"/>
                <w:szCs w:val="24"/>
              </w:rPr>
              <w:t>A</w:t>
            </w:r>
          </w:p>
        </w:tc>
      </w:tr>
      <w:tr w14:paraId="58FD4399">
        <w:tblPrEx>
          <w:tblCellMar>
            <w:top w:w="0" w:type="dxa"/>
            <w:left w:w="0" w:type="dxa"/>
            <w:bottom w:w="0" w:type="dxa"/>
            <w:right w:w="0" w:type="dxa"/>
          </w:tblCellMar>
        </w:tblPrEx>
        <w:trPr>
          <w:trHeight w:val="90"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3EB5E92E">
            <w:pPr>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7</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3BF6319">
            <w:pPr>
              <w:pStyle w:val="29"/>
              <w:adjustRightInd w:val="0"/>
              <w:snapToGrid w:val="0"/>
              <w:ind w:firstLine="0" w:firstLineChars="0"/>
              <w:jc w:val="center"/>
              <w:rPr>
                <w:rFonts w:ascii="宋体" w:hAnsi="宋体"/>
                <w:i w:val="0"/>
                <w:iCs w:val="0"/>
                <w:color w:val="000000" w:themeColor="text1"/>
                <w:sz w:val="24"/>
                <w:szCs w:val="24"/>
                <w14:textFill>
                  <w14:solidFill>
                    <w14:schemeClr w14:val="tx1"/>
                  </w14:solidFill>
                </w14:textFill>
              </w:rPr>
            </w:pPr>
            <w:r>
              <w:rPr>
                <w:rFonts w:hint="eastAsia" w:hAnsi="Calibri"/>
                <w:sz w:val="24"/>
                <w:szCs w:val="24"/>
                <w:lang w:val="en-US" w:eastAsia="zh-CN"/>
              </w:rPr>
              <w:t>净味功能涂料-2</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049AAAC">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2.0</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41D7423">
            <w:pPr>
              <w:widowControl/>
              <w:jc w:val="center"/>
              <w:rPr>
                <w:rFonts w:hint="default"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AA</w:t>
            </w:r>
          </w:p>
        </w:tc>
      </w:tr>
      <w:tr w14:paraId="6D25E0A1">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0717191B">
            <w:pPr>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8</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C2AD017">
            <w:pPr>
              <w:pStyle w:val="29"/>
              <w:adjustRightInd w:val="0"/>
              <w:snapToGrid w:val="0"/>
              <w:ind w:firstLine="0" w:firstLineChars="0"/>
              <w:jc w:val="center"/>
              <w:rPr>
                <w:rFonts w:ascii="宋体" w:hAnsi="宋体"/>
                <w:i w:val="0"/>
                <w:iCs w:val="0"/>
                <w:color w:val="000000" w:themeColor="text1"/>
                <w:sz w:val="24"/>
                <w:szCs w:val="24"/>
                <w14:textFill>
                  <w14:solidFill>
                    <w14:schemeClr w14:val="tx1"/>
                  </w14:solidFill>
                </w14:textFill>
              </w:rPr>
            </w:pPr>
            <w:r>
              <w:rPr>
                <w:rFonts w:hint="eastAsia" w:hAnsi="Calibri"/>
                <w:sz w:val="24"/>
                <w:szCs w:val="24"/>
                <w:lang w:val="en-US" w:eastAsia="zh-CN"/>
              </w:rPr>
              <w:t>净味功能涂料-3</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17DCD6F">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0.5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455DDAD">
            <w:pPr>
              <w:widowControl/>
              <w:jc w:val="center"/>
              <w:rPr>
                <w:rFonts w:hint="eastAsia" w:ascii="宋体" w:hAnsi="宋体" w:eastAsia="宋体" w:cs="Arial"/>
                <w:i w:val="0"/>
                <w:iCs w:val="0"/>
                <w:kern w:val="0"/>
                <w:sz w:val="24"/>
                <w:szCs w:val="24"/>
                <w:lang w:eastAsia="zh-CN"/>
              </w:rPr>
            </w:pPr>
            <w:r>
              <w:rPr>
                <w:rFonts w:hint="eastAsia" w:ascii="宋体" w:hAnsi="宋体" w:cs="Arial"/>
                <w:i w:val="0"/>
                <w:iCs w:val="0"/>
                <w:kern w:val="0"/>
                <w:sz w:val="24"/>
                <w:szCs w:val="24"/>
                <w:lang w:val="en-US" w:eastAsia="zh-CN"/>
              </w:rPr>
              <w:t>N</w:t>
            </w:r>
          </w:p>
        </w:tc>
      </w:tr>
      <w:tr w14:paraId="4613DE2C">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612775D3">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9</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1E00AE0">
            <w:pPr>
              <w:pStyle w:val="29"/>
              <w:adjustRightInd w:val="0"/>
              <w:snapToGrid w:val="0"/>
              <w:ind w:firstLine="0" w:firstLineChars="0"/>
              <w:jc w:val="center"/>
              <w:rPr>
                <w:rFonts w:hint="default" w:ascii="宋体" w:hAnsi="宋体"/>
                <w:i w:val="0"/>
                <w:iCs w:val="0"/>
                <w:color w:val="000000" w:themeColor="text1"/>
                <w:sz w:val="24"/>
                <w:szCs w:val="24"/>
                <w:lang w:val="en-US"/>
                <w14:textFill>
                  <w14:solidFill>
                    <w14:schemeClr w14:val="tx1"/>
                  </w14:solidFill>
                </w14:textFill>
              </w:rPr>
            </w:pPr>
            <w:r>
              <w:rPr>
                <w:rFonts w:hint="eastAsia" w:hAnsi="Calibri"/>
                <w:sz w:val="24"/>
                <w:szCs w:val="24"/>
                <w:lang w:val="en-US" w:eastAsia="zh-CN"/>
              </w:rPr>
              <w:t>净化功能板材-1</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B0E0A71">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0.5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27A3A1B">
            <w:pPr>
              <w:widowControl/>
              <w:jc w:val="center"/>
              <w:rPr>
                <w:rFonts w:hint="default"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N</w:t>
            </w:r>
          </w:p>
        </w:tc>
      </w:tr>
      <w:tr w14:paraId="751CDF5F">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033F18F4">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1</w:t>
            </w:r>
            <w:r>
              <w:rPr>
                <w:rFonts w:ascii="宋体" w:hAnsi="宋体"/>
                <w:i w:val="0"/>
                <w:iCs w:val="0"/>
                <w:color w:val="000000" w:themeColor="text1"/>
                <w:sz w:val="24"/>
                <w:szCs w:val="24"/>
                <w14:textFill>
                  <w14:solidFill>
                    <w14:schemeClr w14:val="tx1"/>
                  </w14:solidFill>
                </w14:textFill>
              </w:rPr>
              <w:t>0</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6ACE963">
            <w:pPr>
              <w:widowControl/>
              <w:jc w:val="center"/>
              <w:rPr>
                <w:rFonts w:hint="default" w:ascii="宋体" w:hAnsi="宋体"/>
                <w:i w:val="0"/>
                <w:iCs w:val="0"/>
                <w:color w:val="000000" w:themeColor="text1"/>
                <w:sz w:val="24"/>
                <w:szCs w:val="24"/>
                <w:lang w:val="en-US"/>
                <w14:textFill>
                  <w14:solidFill>
                    <w14:schemeClr w14:val="tx1"/>
                  </w14:solidFill>
                </w14:textFill>
              </w:rPr>
            </w:pPr>
            <w:r>
              <w:rPr>
                <w:rFonts w:hint="eastAsia" w:hAnsi="Calibri"/>
                <w:sz w:val="24"/>
                <w:szCs w:val="24"/>
                <w:lang w:val="en-US" w:eastAsia="zh-CN"/>
              </w:rPr>
              <w:t>净化功能板材</w:t>
            </w:r>
            <w:r>
              <w:rPr>
                <w:rFonts w:hint="eastAsia"/>
                <w:sz w:val="24"/>
                <w:szCs w:val="24"/>
                <w:lang w:val="en-US" w:eastAsia="zh-CN"/>
              </w:rPr>
              <w:t>-2</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2823CE7">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1.5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C2BBDCB">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A</w:t>
            </w:r>
          </w:p>
        </w:tc>
      </w:tr>
      <w:tr w14:paraId="09E6FD1D">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6FB23C6A">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1</w:t>
            </w:r>
            <w:r>
              <w:rPr>
                <w:rFonts w:ascii="宋体" w:hAnsi="宋体"/>
                <w:i w:val="0"/>
                <w:iCs w:val="0"/>
                <w:color w:val="000000" w:themeColor="text1"/>
                <w:sz w:val="24"/>
                <w:szCs w:val="24"/>
                <w14:textFill>
                  <w14:solidFill>
                    <w14:schemeClr w14:val="tx1"/>
                  </w14:solidFill>
                </w14:textFill>
              </w:rPr>
              <w:t>1</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3C4A6EB">
            <w:pPr>
              <w:widowControl/>
              <w:jc w:val="center"/>
              <w:rPr>
                <w:rFonts w:hint="default" w:ascii="宋体" w:hAnsi="宋体"/>
                <w:i w:val="0"/>
                <w:iCs w:val="0"/>
                <w:color w:val="000000" w:themeColor="text1"/>
                <w:sz w:val="24"/>
                <w:szCs w:val="24"/>
                <w:lang w:val="en-US"/>
                <w14:textFill>
                  <w14:solidFill>
                    <w14:schemeClr w14:val="tx1"/>
                  </w14:solidFill>
                </w14:textFill>
              </w:rPr>
            </w:pPr>
            <w:r>
              <w:rPr>
                <w:rFonts w:hint="eastAsia" w:hAnsi="Calibri"/>
                <w:sz w:val="24"/>
                <w:szCs w:val="24"/>
                <w:lang w:val="en-US" w:eastAsia="zh-CN"/>
              </w:rPr>
              <w:t>净化功能板材</w:t>
            </w:r>
            <w:r>
              <w:rPr>
                <w:rFonts w:hint="eastAsia"/>
                <w:sz w:val="24"/>
                <w:szCs w:val="24"/>
                <w:lang w:val="en-US" w:eastAsia="zh-CN"/>
              </w:rPr>
              <w:t>-3</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A445B50">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1.5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0CAA9F5">
            <w:pPr>
              <w:widowControl/>
              <w:jc w:val="center"/>
              <w:rPr>
                <w:rFonts w:hint="eastAsia"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A</w:t>
            </w:r>
          </w:p>
        </w:tc>
      </w:tr>
      <w:tr w14:paraId="4DD3B978">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7D890498">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1</w:t>
            </w:r>
            <w:r>
              <w:rPr>
                <w:rFonts w:ascii="宋体" w:hAnsi="宋体"/>
                <w:i w:val="0"/>
                <w:iCs w:val="0"/>
                <w:color w:val="000000" w:themeColor="text1"/>
                <w:sz w:val="24"/>
                <w:szCs w:val="24"/>
                <w14:textFill>
                  <w14:solidFill>
                    <w14:schemeClr w14:val="tx1"/>
                  </w14:solidFill>
                </w14:textFill>
              </w:rPr>
              <w:t>2</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C822ADE">
            <w:pPr>
              <w:pStyle w:val="29"/>
              <w:adjustRightInd w:val="0"/>
              <w:snapToGrid w:val="0"/>
              <w:ind w:firstLine="0" w:firstLineChars="0"/>
              <w:jc w:val="center"/>
              <w:rPr>
                <w:rFonts w:ascii="宋体" w:hAnsi="宋体"/>
                <w:i w:val="0"/>
                <w:iCs w:val="0"/>
                <w:color w:val="000000" w:themeColor="text1"/>
                <w:sz w:val="24"/>
                <w:szCs w:val="24"/>
                <w14:textFill>
                  <w14:solidFill>
                    <w14:schemeClr w14:val="tx1"/>
                  </w14:solidFill>
                </w14:textFill>
              </w:rPr>
            </w:pPr>
            <w:r>
              <w:rPr>
                <w:rFonts w:hint="eastAsia"/>
                <w:sz w:val="24"/>
                <w:szCs w:val="24"/>
                <w:lang w:val="en-US" w:eastAsia="zh-CN"/>
              </w:rPr>
              <w:t>复合型净化颗粒</w:t>
            </w:r>
            <w:r>
              <w:rPr>
                <w:rFonts w:hAnsi="Times New Roman"/>
                <w:sz w:val="24"/>
                <w:szCs w:val="24"/>
              </w:rPr>
              <w:t>-1</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8B32CA2">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1</w:t>
            </w:r>
            <w:r>
              <w:rPr>
                <w:rFonts w:hint="eastAsia" w:ascii="宋体" w:hAnsi="宋体"/>
                <w:i w:val="0"/>
                <w:iCs w:val="0"/>
                <w:color w:val="000000" w:themeColor="text1"/>
                <w:sz w:val="24"/>
                <w:szCs w:val="24"/>
                <w14:textFill>
                  <w14:solidFill>
                    <w14:schemeClr w14:val="tx1"/>
                  </w14:solidFill>
                </w14:textFill>
              </w:rPr>
              <w:t>.5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0D45BD4">
            <w:pPr>
              <w:widowControl/>
              <w:jc w:val="center"/>
              <w:rPr>
                <w:rFonts w:hint="eastAsia"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A</w:t>
            </w:r>
          </w:p>
        </w:tc>
      </w:tr>
      <w:tr w14:paraId="0D5EB478">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4E7F082F">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1</w:t>
            </w:r>
            <w:r>
              <w:rPr>
                <w:rFonts w:ascii="宋体" w:hAnsi="宋体"/>
                <w:i w:val="0"/>
                <w:iCs w:val="0"/>
                <w:color w:val="000000" w:themeColor="text1"/>
                <w:sz w:val="24"/>
                <w:szCs w:val="24"/>
                <w14:textFill>
                  <w14:solidFill>
                    <w14:schemeClr w14:val="tx1"/>
                  </w14:solidFill>
                </w14:textFill>
              </w:rPr>
              <w:t>3</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A69D9DF">
            <w:pPr>
              <w:pStyle w:val="29"/>
              <w:adjustRightInd w:val="0"/>
              <w:snapToGrid w:val="0"/>
              <w:ind w:firstLine="0" w:firstLineChars="0"/>
              <w:jc w:val="center"/>
              <w:rPr>
                <w:rFonts w:ascii="宋体" w:hAnsi="宋体"/>
                <w:i w:val="0"/>
                <w:iCs w:val="0"/>
                <w:color w:val="000000" w:themeColor="text1"/>
                <w:sz w:val="24"/>
                <w:szCs w:val="24"/>
                <w14:textFill>
                  <w14:solidFill>
                    <w14:schemeClr w14:val="tx1"/>
                  </w14:solidFill>
                </w14:textFill>
              </w:rPr>
            </w:pPr>
            <w:r>
              <w:rPr>
                <w:rFonts w:hint="eastAsia"/>
                <w:sz w:val="24"/>
                <w:szCs w:val="24"/>
                <w:lang w:val="en-US" w:eastAsia="zh-CN"/>
              </w:rPr>
              <w:t>复合型净化颗粒</w:t>
            </w:r>
            <w:r>
              <w:rPr>
                <w:rFonts w:hAnsi="Times New Roman"/>
                <w:sz w:val="24"/>
                <w:szCs w:val="24"/>
              </w:rPr>
              <w:t>-</w:t>
            </w:r>
            <w:r>
              <w:rPr>
                <w:rFonts w:hint="eastAsia"/>
                <w:sz w:val="24"/>
                <w:szCs w:val="24"/>
                <w:lang w:val="en-US" w:eastAsia="zh-CN"/>
              </w:rPr>
              <w:t>2</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9D8484E">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2.0</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9C81F1E">
            <w:pPr>
              <w:widowControl/>
              <w:jc w:val="center"/>
              <w:rPr>
                <w:rFonts w:hint="default"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AA</w:t>
            </w:r>
          </w:p>
        </w:tc>
      </w:tr>
      <w:tr w14:paraId="4EF0C394">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053E08BC">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1</w:t>
            </w:r>
            <w:r>
              <w:rPr>
                <w:rFonts w:ascii="宋体" w:hAnsi="宋体"/>
                <w:i w:val="0"/>
                <w:iCs w:val="0"/>
                <w:color w:val="000000" w:themeColor="text1"/>
                <w:sz w:val="24"/>
                <w:szCs w:val="24"/>
                <w14:textFill>
                  <w14:solidFill>
                    <w14:schemeClr w14:val="tx1"/>
                  </w14:solidFill>
                </w14:textFill>
              </w:rPr>
              <w:t>4</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7E1BD0F">
            <w:pPr>
              <w:widowControl/>
              <w:jc w:val="center"/>
              <w:rPr>
                <w:rFonts w:ascii="宋体" w:hAnsi="宋体"/>
                <w:i w:val="0"/>
                <w:iCs w:val="0"/>
                <w:color w:val="000000" w:themeColor="text1"/>
                <w:sz w:val="24"/>
                <w:szCs w:val="24"/>
                <w14:textFill>
                  <w14:solidFill>
                    <w14:schemeClr w14:val="tx1"/>
                  </w14:solidFill>
                </w14:textFill>
              </w:rPr>
            </w:pPr>
            <w:r>
              <w:rPr>
                <w:rFonts w:hint="eastAsia"/>
                <w:sz w:val="24"/>
                <w:szCs w:val="24"/>
                <w:lang w:val="en-US" w:eastAsia="zh-CN"/>
              </w:rPr>
              <w:t>复合型净化颗粒</w:t>
            </w:r>
            <w:r>
              <w:rPr>
                <w:rFonts w:hAnsi="Times New Roman"/>
                <w:sz w:val="24"/>
                <w:szCs w:val="24"/>
              </w:rPr>
              <w:t>-</w:t>
            </w:r>
            <w:r>
              <w:rPr>
                <w:rFonts w:hint="eastAsia"/>
                <w:sz w:val="24"/>
                <w:szCs w:val="24"/>
                <w:lang w:val="en-US" w:eastAsia="zh-CN"/>
              </w:rPr>
              <w:t>3</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A1EBB18">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0</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A3A0578">
            <w:pPr>
              <w:widowControl/>
              <w:jc w:val="center"/>
              <w:rPr>
                <w:rFonts w:hint="eastAsia" w:ascii="宋体" w:hAnsi="宋体" w:eastAsia="宋体" w:cs="Arial"/>
                <w:i w:val="0"/>
                <w:iCs w:val="0"/>
                <w:kern w:val="0"/>
                <w:sz w:val="24"/>
                <w:szCs w:val="24"/>
                <w:lang w:eastAsia="zh-CN"/>
              </w:rPr>
            </w:pPr>
            <w:r>
              <w:rPr>
                <w:rFonts w:hint="eastAsia" w:ascii="宋体" w:hAnsi="宋体" w:cs="Arial"/>
                <w:i w:val="0"/>
                <w:iCs w:val="0"/>
                <w:kern w:val="0"/>
                <w:sz w:val="24"/>
                <w:szCs w:val="24"/>
                <w:lang w:val="en-US" w:eastAsia="zh-CN"/>
              </w:rPr>
              <w:t>N</w:t>
            </w:r>
          </w:p>
        </w:tc>
      </w:tr>
      <w:tr w14:paraId="5AC0752B">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058BEFB1">
            <w:pPr>
              <w:widowControl/>
              <w:jc w:val="center"/>
              <w:rPr>
                <w:rFonts w:ascii="宋体" w:hAnsi="宋体"/>
                <w:i w:val="0"/>
                <w:iCs w:val="0"/>
                <w:color w:val="000000" w:themeColor="text1"/>
                <w:sz w:val="24"/>
                <w:szCs w:val="24"/>
                <w14:textFill>
                  <w14:solidFill>
                    <w14:schemeClr w14:val="tx1"/>
                  </w14:solidFill>
                </w14:textFill>
              </w:rPr>
            </w:pPr>
            <w:r>
              <w:rPr>
                <w:rFonts w:ascii="宋体" w:hAnsi="宋体"/>
                <w:i w:val="0"/>
                <w:iCs w:val="0"/>
                <w:color w:val="000000" w:themeColor="text1"/>
                <w:sz w:val="24"/>
                <w:szCs w:val="24"/>
                <w14:textFill>
                  <w14:solidFill>
                    <w14:schemeClr w14:val="tx1"/>
                  </w14:solidFill>
                </w14:textFill>
              </w:rPr>
              <w:t>15</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477147E">
            <w:pPr>
              <w:widowControl/>
              <w:jc w:val="center"/>
              <w:rPr>
                <w:rFonts w:ascii="宋体" w:hAnsi="宋体"/>
                <w:i w:val="0"/>
                <w:iCs w:val="0"/>
                <w:color w:val="000000" w:themeColor="text1"/>
                <w:sz w:val="24"/>
                <w:szCs w:val="24"/>
                <w14:textFill>
                  <w14:solidFill>
                    <w14:schemeClr w14:val="tx1"/>
                  </w14:solidFill>
                </w14:textFill>
              </w:rPr>
            </w:pPr>
            <w:r>
              <w:rPr>
                <w:rFonts w:hint="eastAsia"/>
                <w:sz w:val="24"/>
                <w:szCs w:val="24"/>
                <w:lang w:val="en-US" w:eastAsia="zh-CN"/>
              </w:rPr>
              <w:t>复合型净化颗粒</w:t>
            </w:r>
            <w:r>
              <w:rPr>
                <w:rFonts w:hAnsi="Times New Roman"/>
                <w:sz w:val="24"/>
                <w:szCs w:val="24"/>
              </w:rPr>
              <w:t>-</w:t>
            </w:r>
            <w:r>
              <w:rPr>
                <w:rFonts w:hint="eastAsia"/>
                <w:sz w:val="24"/>
                <w:szCs w:val="24"/>
                <w:lang w:val="en-US" w:eastAsia="zh-CN"/>
              </w:rPr>
              <w:t>4</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75A12A5">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1.5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E35385E">
            <w:pPr>
              <w:widowControl/>
              <w:jc w:val="center"/>
              <w:rPr>
                <w:rFonts w:hint="eastAsia"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A</w:t>
            </w:r>
          </w:p>
        </w:tc>
      </w:tr>
      <w:tr w14:paraId="2E7C2CCC">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245BD8C0">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1</w:t>
            </w:r>
            <w:r>
              <w:rPr>
                <w:rFonts w:ascii="宋体" w:hAnsi="宋体"/>
                <w:i w:val="0"/>
                <w:iCs w:val="0"/>
                <w:color w:val="000000" w:themeColor="text1"/>
                <w:sz w:val="24"/>
                <w:szCs w:val="24"/>
                <w14:textFill>
                  <w14:solidFill>
                    <w14:schemeClr w14:val="tx1"/>
                  </w14:solidFill>
                </w14:textFill>
              </w:rPr>
              <w:t>6</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2970754">
            <w:pPr>
              <w:widowControl/>
              <w:jc w:val="center"/>
              <w:rPr>
                <w:rFonts w:hint="default"/>
                <w:sz w:val="24"/>
                <w:szCs w:val="24"/>
                <w:lang w:val="en-US" w:eastAsia="zh-CN"/>
              </w:rPr>
            </w:pPr>
            <w:r>
              <w:rPr>
                <w:rFonts w:hint="eastAsia"/>
                <w:sz w:val="24"/>
                <w:szCs w:val="24"/>
                <w:lang w:val="en-US" w:eastAsia="zh-CN"/>
              </w:rPr>
              <w:t>净化滤网材料-1</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7010998">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2.0</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7568D6B">
            <w:pPr>
              <w:widowControl/>
              <w:jc w:val="center"/>
              <w:rPr>
                <w:rFonts w:hint="default"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AAA</w:t>
            </w:r>
          </w:p>
        </w:tc>
      </w:tr>
      <w:tr w14:paraId="1BCB2772">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6CCF494D">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1</w:t>
            </w:r>
            <w:r>
              <w:rPr>
                <w:rFonts w:ascii="宋体" w:hAnsi="宋体"/>
                <w:i w:val="0"/>
                <w:iCs w:val="0"/>
                <w:color w:val="000000" w:themeColor="text1"/>
                <w:sz w:val="24"/>
                <w:szCs w:val="24"/>
                <w14:textFill>
                  <w14:solidFill>
                    <w14:schemeClr w14:val="tx1"/>
                  </w14:solidFill>
                </w14:textFill>
              </w:rPr>
              <w:t>7</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73BFBD7">
            <w:pPr>
              <w:widowControl/>
              <w:jc w:val="center"/>
              <w:rPr>
                <w:rFonts w:hint="default"/>
                <w:sz w:val="24"/>
                <w:szCs w:val="24"/>
                <w:lang w:val="en-US" w:eastAsia="zh-CN"/>
              </w:rPr>
            </w:pPr>
            <w:r>
              <w:rPr>
                <w:rFonts w:hint="eastAsia"/>
                <w:sz w:val="24"/>
                <w:szCs w:val="24"/>
                <w:lang w:val="en-US" w:eastAsia="zh-CN"/>
              </w:rPr>
              <w:t>净化滤网材料-2</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3396477">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0.5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FA9450E">
            <w:pPr>
              <w:widowControl/>
              <w:jc w:val="center"/>
              <w:rPr>
                <w:rFonts w:hint="default"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N</w:t>
            </w:r>
          </w:p>
        </w:tc>
      </w:tr>
      <w:tr w14:paraId="68CA0695">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5BB4EF8B">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1</w:t>
            </w:r>
            <w:r>
              <w:rPr>
                <w:rFonts w:ascii="宋体" w:hAnsi="宋体"/>
                <w:i w:val="0"/>
                <w:iCs w:val="0"/>
                <w:color w:val="000000" w:themeColor="text1"/>
                <w:sz w:val="24"/>
                <w:szCs w:val="24"/>
                <w14:textFill>
                  <w14:solidFill>
                    <w14:schemeClr w14:val="tx1"/>
                  </w14:solidFill>
                </w14:textFill>
              </w:rPr>
              <w:t>8</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7568B00">
            <w:pPr>
              <w:widowControl/>
              <w:jc w:val="center"/>
              <w:rPr>
                <w:rFonts w:hint="default"/>
                <w:sz w:val="24"/>
                <w:szCs w:val="24"/>
                <w:lang w:val="en-US" w:eastAsia="zh-CN"/>
              </w:rPr>
            </w:pPr>
            <w:r>
              <w:rPr>
                <w:rFonts w:hint="eastAsia"/>
                <w:sz w:val="24"/>
                <w:szCs w:val="24"/>
                <w:lang w:val="en-US" w:eastAsia="zh-CN"/>
              </w:rPr>
              <w:t>净化滤网材料-3</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E1F613B">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2.0</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B3F5C70">
            <w:pPr>
              <w:widowControl/>
              <w:jc w:val="center"/>
              <w:rPr>
                <w:rFonts w:hint="default"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AA</w:t>
            </w:r>
          </w:p>
        </w:tc>
      </w:tr>
      <w:tr w14:paraId="3CE7930F">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296B706D">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1</w:t>
            </w:r>
            <w:r>
              <w:rPr>
                <w:rFonts w:ascii="宋体" w:hAnsi="宋体"/>
                <w:i w:val="0"/>
                <w:iCs w:val="0"/>
                <w:color w:val="000000" w:themeColor="text1"/>
                <w:sz w:val="24"/>
                <w:szCs w:val="24"/>
                <w14:textFill>
                  <w14:solidFill>
                    <w14:schemeClr w14:val="tx1"/>
                  </w14:solidFill>
                </w14:textFill>
              </w:rPr>
              <w:t>9</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9C4C776">
            <w:pPr>
              <w:widowControl/>
              <w:jc w:val="center"/>
              <w:rPr>
                <w:rFonts w:hint="default"/>
                <w:sz w:val="24"/>
                <w:szCs w:val="24"/>
                <w:lang w:val="en-US" w:eastAsia="zh-CN"/>
              </w:rPr>
            </w:pPr>
            <w:r>
              <w:rPr>
                <w:rFonts w:hint="eastAsia"/>
                <w:sz w:val="24"/>
                <w:szCs w:val="24"/>
                <w:lang w:val="en-US" w:eastAsia="zh-CN"/>
              </w:rPr>
              <w:t>净化滤网材料-4</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D24C6BF">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2.5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F80D7E6">
            <w:pPr>
              <w:widowControl/>
              <w:jc w:val="center"/>
              <w:rPr>
                <w:rFonts w:hint="default"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AA</w:t>
            </w:r>
          </w:p>
        </w:tc>
      </w:tr>
      <w:tr w14:paraId="513140B7">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1B016DB5">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2</w:t>
            </w:r>
            <w:r>
              <w:rPr>
                <w:rFonts w:ascii="宋体" w:hAnsi="宋体"/>
                <w:i w:val="0"/>
                <w:iCs w:val="0"/>
                <w:color w:val="000000" w:themeColor="text1"/>
                <w:sz w:val="24"/>
                <w:szCs w:val="24"/>
                <w14:textFill>
                  <w14:solidFill>
                    <w14:schemeClr w14:val="tx1"/>
                  </w14:solidFill>
                </w14:textFill>
              </w:rPr>
              <w:t>0</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0DA88A1">
            <w:pPr>
              <w:widowControl/>
              <w:jc w:val="center"/>
              <w:rPr>
                <w:rFonts w:hint="default"/>
                <w:sz w:val="24"/>
                <w:szCs w:val="24"/>
                <w:lang w:val="en-US" w:eastAsia="zh-CN"/>
              </w:rPr>
            </w:pPr>
            <w:r>
              <w:rPr>
                <w:rFonts w:hint="eastAsia"/>
                <w:sz w:val="24"/>
                <w:szCs w:val="24"/>
                <w:lang w:val="en-US" w:eastAsia="zh-CN"/>
              </w:rPr>
              <w:t>净化滤网材料-5</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AB85416">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2.0</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99B2D99">
            <w:pPr>
              <w:widowControl/>
              <w:jc w:val="center"/>
              <w:rPr>
                <w:rFonts w:hint="default"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AA</w:t>
            </w:r>
          </w:p>
        </w:tc>
      </w:tr>
      <w:tr w14:paraId="34CF06A4">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698C8950">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2</w:t>
            </w:r>
            <w:r>
              <w:rPr>
                <w:rFonts w:ascii="宋体" w:hAnsi="宋体"/>
                <w:i w:val="0"/>
                <w:iCs w:val="0"/>
                <w:color w:val="000000" w:themeColor="text1"/>
                <w:sz w:val="24"/>
                <w:szCs w:val="24"/>
                <w14:textFill>
                  <w14:solidFill>
                    <w14:schemeClr w14:val="tx1"/>
                  </w14:solidFill>
                </w14:textFill>
              </w:rPr>
              <w:t>1</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F7CC44A">
            <w:pPr>
              <w:widowControl/>
              <w:jc w:val="center"/>
              <w:rPr>
                <w:rFonts w:hint="default" w:ascii="Arial" w:hAnsi="Arial" w:eastAsia="宋体" w:cs="Arial"/>
                <w:i w:val="0"/>
                <w:iCs w:val="0"/>
                <w:sz w:val="36"/>
                <w:szCs w:val="36"/>
                <w:lang w:val="en-US" w:eastAsia="zh-CN"/>
              </w:rPr>
            </w:pPr>
            <w:r>
              <w:rPr>
                <w:rFonts w:hint="eastAsia"/>
                <w:sz w:val="24"/>
                <w:szCs w:val="24"/>
                <w:lang w:val="en-US" w:eastAsia="zh-CN"/>
              </w:rPr>
              <w:t>净化滤网材料-6</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08318E3">
            <w:pPr>
              <w:widowControl/>
              <w:jc w:val="center"/>
              <w:rPr>
                <w:rFonts w:hint="default" w:ascii="宋体" w:hAnsi="宋体"/>
                <w:i w:val="0"/>
                <w:iCs w:val="0"/>
                <w:color w:val="000000" w:themeColor="text1"/>
                <w:sz w:val="24"/>
                <w:szCs w:val="24"/>
                <w:lang w:val="en-US"/>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2.5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27A9C69">
            <w:pPr>
              <w:widowControl/>
              <w:jc w:val="center"/>
              <w:rPr>
                <w:rFonts w:hint="default"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AA</w:t>
            </w:r>
          </w:p>
        </w:tc>
      </w:tr>
      <w:tr w14:paraId="7C4905CE">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053E98A7">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2</w:t>
            </w:r>
            <w:r>
              <w:rPr>
                <w:rFonts w:ascii="宋体" w:hAnsi="宋体"/>
                <w:i w:val="0"/>
                <w:iCs w:val="0"/>
                <w:color w:val="000000" w:themeColor="text1"/>
                <w:sz w:val="24"/>
                <w:szCs w:val="24"/>
                <w14:textFill>
                  <w14:solidFill>
                    <w14:schemeClr w14:val="tx1"/>
                  </w14:solidFill>
                </w14:textFill>
              </w:rPr>
              <w:t>2</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D72E555">
            <w:pPr>
              <w:pStyle w:val="15"/>
              <w:spacing w:before="0" w:beforeAutospacing="0" w:after="0" w:afterAutospacing="0"/>
              <w:jc w:val="center"/>
              <w:rPr>
                <w:rFonts w:hint="default" w:cs="Times New Roman"/>
                <w:i w:val="0"/>
                <w:iCs w:val="0"/>
                <w:color w:val="000000" w:themeColor="text1"/>
                <w:lang w:val="en-US" w:eastAsia="zh-CN"/>
                <w14:textFill>
                  <w14:solidFill>
                    <w14:schemeClr w14:val="tx1"/>
                  </w14:solidFill>
                </w14:textFill>
              </w:rPr>
            </w:pPr>
            <w:r>
              <w:rPr>
                <w:rFonts w:hint="eastAsia" w:cs="Times New Roman"/>
                <w:i w:val="0"/>
                <w:iCs w:val="0"/>
                <w:color w:val="000000" w:themeColor="text1"/>
                <w:lang w:val="en-US" w:eastAsia="zh-CN"/>
                <w14:textFill>
                  <w14:solidFill>
                    <w14:schemeClr w14:val="tx1"/>
                  </w14:solidFill>
                </w14:textFill>
              </w:rPr>
              <w:t>除味颗粒-1</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BD4BD3A">
            <w:pPr>
              <w:widowControl/>
              <w:jc w:val="center"/>
              <w:rPr>
                <w:rFonts w:ascii="宋体" w:hAnsi="宋体"/>
                <w:i w:val="0"/>
                <w:iCs w:val="0"/>
                <w:color w:val="000000" w:themeColor="text1"/>
                <w:sz w:val="24"/>
                <w:szCs w:val="24"/>
                <w14:textFill>
                  <w14:solidFill>
                    <w14:schemeClr w14:val="tx1"/>
                  </w14:solidFill>
                </w14:textFill>
              </w:rPr>
            </w:pPr>
            <w:r>
              <w:rPr>
                <w:rFonts w:ascii="宋体" w:hAnsi="宋体"/>
                <w:i w:val="0"/>
                <w:iCs w:val="0"/>
                <w:color w:val="000000" w:themeColor="text1"/>
                <w:sz w:val="24"/>
                <w:szCs w:val="24"/>
                <w14:textFill>
                  <w14:solidFill>
                    <w14:schemeClr w14:val="tx1"/>
                  </w14:solidFill>
                </w14:textFill>
              </w:rPr>
              <w:t>1.5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31E4BA6">
            <w:pPr>
              <w:widowControl/>
              <w:jc w:val="center"/>
              <w:rPr>
                <w:rFonts w:hint="eastAsia"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A</w:t>
            </w:r>
          </w:p>
        </w:tc>
      </w:tr>
      <w:tr w14:paraId="5795AE09">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4C80016C">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23</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DE59FE6">
            <w:pPr>
              <w:pStyle w:val="15"/>
              <w:spacing w:before="0" w:beforeAutospacing="0" w:after="0" w:afterAutospacing="0"/>
              <w:jc w:val="center"/>
              <w:rPr>
                <w:rFonts w:hint="eastAsia" w:cs="Times New Roman"/>
                <w:i w:val="0"/>
                <w:iCs w:val="0"/>
                <w:color w:val="000000" w:themeColor="text1"/>
                <w:lang w:val="en-US" w:eastAsia="zh-CN"/>
                <w14:textFill>
                  <w14:solidFill>
                    <w14:schemeClr w14:val="tx1"/>
                  </w14:solidFill>
                </w14:textFill>
              </w:rPr>
            </w:pPr>
            <w:r>
              <w:rPr>
                <w:rFonts w:hint="eastAsia" w:cs="Times New Roman"/>
                <w:i w:val="0"/>
                <w:iCs w:val="0"/>
                <w:color w:val="000000" w:themeColor="text1"/>
                <w:lang w:val="en-US" w:eastAsia="zh-CN"/>
                <w14:textFill>
                  <w14:solidFill>
                    <w14:schemeClr w14:val="tx1"/>
                  </w14:solidFill>
                </w14:textFill>
              </w:rPr>
              <w:t>除味颗粒-2</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E86AB09">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1.0</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3F2F7A3">
            <w:pPr>
              <w:widowControl/>
              <w:jc w:val="center"/>
              <w:rPr>
                <w:rFonts w:hint="eastAsia" w:ascii="宋体" w:hAnsi="宋体" w:cs="Arial"/>
                <w:i w:val="0"/>
                <w:iCs w:val="0"/>
                <w:kern w:val="0"/>
                <w:sz w:val="24"/>
                <w:szCs w:val="24"/>
                <w:lang w:val="en-US" w:eastAsia="zh-CN"/>
              </w:rPr>
            </w:pPr>
            <w:r>
              <w:rPr>
                <w:rFonts w:hint="eastAsia" w:ascii="宋体" w:hAnsi="宋体" w:cs="Arial"/>
                <w:i w:val="0"/>
                <w:iCs w:val="0"/>
                <w:kern w:val="0"/>
                <w:sz w:val="24"/>
                <w:szCs w:val="24"/>
                <w:lang w:val="en-US" w:eastAsia="zh-CN"/>
              </w:rPr>
              <w:t>A</w:t>
            </w:r>
          </w:p>
        </w:tc>
      </w:tr>
      <w:tr w14:paraId="4CEE1E55">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18709C43">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2</w:t>
            </w:r>
            <w:r>
              <w:rPr>
                <w:rFonts w:ascii="宋体" w:hAnsi="宋体"/>
                <w:i w:val="0"/>
                <w:iCs w:val="0"/>
                <w:color w:val="000000" w:themeColor="text1"/>
                <w:sz w:val="24"/>
                <w:szCs w:val="24"/>
                <w14:textFill>
                  <w14:solidFill>
                    <w14:schemeClr w14:val="tx1"/>
                  </w14:solidFill>
                </w14:textFill>
              </w:rPr>
              <w:t>4</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3276386">
            <w:pPr>
              <w:pStyle w:val="15"/>
              <w:spacing w:before="0" w:beforeAutospacing="0" w:after="0" w:afterAutospacing="0"/>
              <w:jc w:val="center"/>
              <w:rPr>
                <w:rFonts w:hint="default" w:cs="Times New Roman"/>
                <w:i w:val="0"/>
                <w:iCs w:val="0"/>
                <w:color w:val="000000" w:themeColor="text1"/>
                <w:lang w:val="en-US" w:eastAsia="zh-CN"/>
                <w14:textFill>
                  <w14:solidFill>
                    <w14:schemeClr w14:val="tx1"/>
                  </w14:solidFill>
                </w14:textFill>
              </w:rPr>
            </w:pPr>
            <w:r>
              <w:rPr>
                <w:rFonts w:hint="eastAsia" w:cs="Times New Roman"/>
                <w:i w:val="0"/>
                <w:iCs w:val="0"/>
                <w:color w:val="000000" w:themeColor="text1"/>
                <w:lang w:val="en-US" w:eastAsia="zh-CN"/>
                <w14:textFill>
                  <w14:solidFill>
                    <w14:schemeClr w14:val="tx1"/>
                  </w14:solidFill>
                </w14:textFill>
              </w:rPr>
              <w:t>除味颗粒-3</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921D377">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0.5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ED643A7">
            <w:pPr>
              <w:widowControl/>
              <w:jc w:val="center"/>
              <w:rPr>
                <w:rFonts w:hint="default"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N</w:t>
            </w:r>
          </w:p>
        </w:tc>
      </w:tr>
      <w:tr w14:paraId="1F80BFFE">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660E735A">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2</w:t>
            </w:r>
            <w:r>
              <w:rPr>
                <w:rFonts w:ascii="宋体" w:hAnsi="宋体"/>
                <w:i w:val="0"/>
                <w:iCs w:val="0"/>
                <w:color w:val="000000" w:themeColor="text1"/>
                <w:sz w:val="24"/>
                <w:szCs w:val="24"/>
                <w14:textFill>
                  <w14:solidFill>
                    <w14:schemeClr w14:val="tx1"/>
                  </w14:solidFill>
                </w14:textFill>
              </w:rPr>
              <w:t>5</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36C20AE">
            <w:pPr>
              <w:pStyle w:val="15"/>
              <w:spacing w:before="0" w:beforeAutospacing="0" w:after="0" w:afterAutospacing="0"/>
              <w:jc w:val="center"/>
              <w:rPr>
                <w:rFonts w:hint="default" w:cs="Times New Roman"/>
                <w:i w:val="0"/>
                <w:iCs w:val="0"/>
                <w:color w:val="000000" w:themeColor="text1"/>
                <w:lang w:val="en-US" w:eastAsia="zh-CN"/>
                <w14:textFill>
                  <w14:solidFill>
                    <w14:schemeClr w14:val="tx1"/>
                  </w14:solidFill>
                </w14:textFill>
              </w:rPr>
            </w:pPr>
            <w:r>
              <w:rPr>
                <w:rFonts w:hint="eastAsia" w:cs="Times New Roman"/>
                <w:i w:val="0"/>
                <w:iCs w:val="0"/>
                <w:color w:val="000000" w:themeColor="text1"/>
                <w:lang w:val="en-US" w:eastAsia="zh-CN"/>
                <w14:textFill>
                  <w14:solidFill>
                    <w14:schemeClr w14:val="tx1"/>
                  </w14:solidFill>
                </w14:textFill>
              </w:rPr>
              <w:t>除味颗粒-4</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62E9D02">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2.0</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CCCFFDE">
            <w:pPr>
              <w:widowControl/>
              <w:jc w:val="center"/>
              <w:rPr>
                <w:rFonts w:hint="default"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AA</w:t>
            </w:r>
          </w:p>
        </w:tc>
      </w:tr>
      <w:tr w14:paraId="60ED7A5D">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29522CAC">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2</w:t>
            </w:r>
            <w:r>
              <w:rPr>
                <w:rFonts w:ascii="宋体" w:hAnsi="宋体"/>
                <w:i w:val="0"/>
                <w:iCs w:val="0"/>
                <w:color w:val="000000" w:themeColor="text1"/>
                <w:sz w:val="24"/>
                <w:szCs w:val="24"/>
                <w14:textFill>
                  <w14:solidFill>
                    <w14:schemeClr w14:val="tx1"/>
                  </w14:solidFill>
                </w14:textFill>
              </w:rPr>
              <w:t>6</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0887B34">
            <w:pPr>
              <w:pStyle w:val="15"/>
              <w:spacing w:before="0" w:beforeAutospacing="0" w:after="0" w:afterAutospacing="0"/>
              <w:jc w:val="center"/>
              <w:rPr>
                <w:rFonts w:hint="default" w:cs="Times New Roman"/>
                <w:i w:val="0"/>
                <w:iCs w:val="0"/>
                <w:color w:val="000000" w:themeColor="text1"/>
                <w:lang w:val="en-US" w:eastAsia="zh-CN"/>
                <w14:textFill>
                  <w14:solidFill>
                    <w14:schemeClr w14:val="tx1"/>
                  </w14:solidFill>
                </w14:textFill>
              </w:rPr>
            </w:pPr>
            <w:r>
              <w:rPr>
                <w:rFonts w:hint="eastAsia" w:cs="Times New Roman"/>
                <w:i w:val="0"/>
                <w:iCs w:val="0"/>
                <w:color w:val="000000" w:themeColor="text1"/>
                <w:lang w:val="en-US" w:eastAsia="zh-CN"/>
                <w14:textFill>
                  <w14:solidFill>
                    <w14:schemeClr w14:val="tx1"/>
                  </w14:solidFill>
                </w14:textFill>
              </w:rPr>
              <w:t>除味颗粒-5</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EEB66FD">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1</w:t>
            </w:r>
            <w:r>
              <w:rPr>
                <w:rFonts w:ascii="宋体" w:hAnsi="宋体"/>
                <w:i w:val="0"/>
                <w:iCs w:val="0"/>
                <w:color w:val="000000" w:themeColor="text1"/>
                <w:sz w:val="24"/>
                <w:szCs w:val="24"/>
                <w14:textFill>
                  <w14:solidFill>
                    <w14:schemeClr w14:val="tx1"/>
                  </w14:solidFill>
                </w14:textFill>
              </w:rPr>
              <w:t>.0</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D9FA79A">
            <w:pPr>
              <w:widowControl/>
              <w:jc w:val="center"/>
              <w:rPr>
                <w:rFonts w:ascii="宋体" w:hAnsi="宋体" w:cs="Arial"/>
                <w:i w:val="0"/>
                <w:iCs w:val="0"/>
                <w:kern w:val="0"/>
                <w:sz w:val="24"/>
                <w:szCs w:val="24"/>
              </w:rPr>
            </w:pPr>
            <w:r>
              <w:rPr>
                <w:rFonts w:ascii="宋体" w:hAnsi="宋体" w:cs="Arial"/>
                <w:i w:val="0"/>
                <w:iCs w:val="0"/>
                <w:kern w:val="0"/>
                <w:sz w:val="24"/>
                <w:szCs w:val="24"/>
              </w:rPr>
              <w:t>A</w:t>
            </w:r>
          </w:p>
        </w:tc>
      </w:tr>
      <w:tr w14:paraId="08B1650A">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117C1D33">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2</w:t>
            </w:r>
            <w:r>
              <w:rPr>
                <w:rFonts w:ascii="宋体" w:hAnsi="宋体"/>
                <w:i w:val="0"/>
                <w:iCs w:val="0"/>
                <w:color w:val="000000" w:themeColor="text1"/>
                <w:sz w:val="24"/>
                <w:szCs w:val="24"/>
                <w14:textFill>
                  <w14:solidFill>
                    <w14:schemeClr w14:val="tx1"/>
                  </w14:solidFill>
                </w14:textFill>
              </w:rPr>
              <w:t>7</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178F814">
            <w:pPr>
              <w:pStyle w:val="15"/>
              <w:spacing w:before="0" w:beforeAutospacing="0" w:after="0" w:afterAutospacing="0"/>
              <w:jc w:val="center"/>
              <w:rPr>
                <w:rFonts w:hint="default" w:cs="Times New Roman"/>
                <w:i w:val="0"/>
                <w:iCs w:val="0"/>
                <w:color w:val="000000" w:themeColor="text1"/>
                <w:lang w:val="en-US" w:eastAsia="zh-CN"/>
                <w14:textFill>
                  <w14:solidFill>
                    <w14:schemeClr w14:val="tx1"/>
                  </w14:solidFill>
                </w14:textFill>
              </w:rPr>
            </w:pPr>
            <w:r>
              <w:rPr>
                <w:rFonts w:hint="eastAsia" w:cs="Times New Roman"/>
                <w:i w:val="0"/>
                <w:iCs w:val="0"/>
                <w:color w:val="000000" w:themeColor="text1"/>
                <w:lang w:val="en-US" w:eastAsia="zh-CN"/>
                <w14:textFill>
                  <w14:solidFill>
                    <w14:schemeClr w14:val="tx1"/>
                  </w14:solidFill>
                </w14:textFill>
              </w:rPr>
              <w:t>除味颗粒-6</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8D20D33">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1.5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4F5E726">
            <w:pPr>
              <w:widowControl/>
              <w:jc w:val="center"/>
              <w:rPr>
                <w:rFonts w:ascii="宋体" w:hAnsi="宋体" w:cs="Arial"/>
                <w:i w:val="0"/>
                <w:iCs w:val="0"/>
                <w:kern w:val="0"/>
                <w:sz w:val="24"/>
                <w:szCs w:val="24"/>
              </w:rPr>
            </w:pPr>
            <w:r>
              <w:rPr>
                <w:rFonts w:ascii="宋体" w:hAnsi="宋体" w:cs="Arial"/>
                <w:i w:val="0"/>
                <w:iCs w:val="0"/>
                <w:kern w:val="0"/>
                <w:sz w:val="24"/>
                <w:szCs w:val="24"/>
              </w:rPr>
              <w:t>A</w:t>
            </w:r>
          </w:p>
        </w:tc>
      </w:tr>
      <w:tr w14:paraId="593A4A0F">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187DE802">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2</w:t>
            </w:r>
            <w:r>
              <w:rPr>
                <w:rFonts w:ascii="宋体" w:hAnsi="宋体"/>
                <w:i w:val="0"/>
                <w:iCs w:val="0"/>
                <w:color w:val="000000" w:themeColor="text1"/>
                <w:sz w:val="24"/>
                <w:szCs w:val="24"/>
                <w14:textFill>
                  <w14:solidFill>
                    <w14:schemeClr w14:val="tx1"/>
                  </w14:solidFill>
                </w14:textFill>
              </w:rPr>
              <w:t>8</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13A511F">
            <w:pPr>
              <w:pStyle w:val="15"/>
              <w:spacing w:before="0" w:beforeAutospacing="0" w:after="0" w:afterAutospacing="0"/>
              <w:jc w:val="center"/>
              <w:rPr>
                <w:rFonts w:hint="default" w:cs="Times New Roman"/>
                <w:i w:val="0"/>
                <w:iCs w:val="0"/>
                <w:color w:val="000000" w:themeColor="text1"/>
                <w:lang w:val="en-US" w:eastAsia="zh-CN"/>
                <w14:textFill>
                  <w14:solidFill>
                    <w14:schemeClr w14:val="tx1"/>
                  </w14:solidFill>
                </w14:textFill>
              </w:rPr>
            </w:pPr>
            <w:r>
              <w:rPr>
                <w:rFonts w:hint="eastAsia" w:cs="Times New Roman"/>
                <w:i w:val="0"/>
                <w:iCs w:val="0"/>
                <w:color w:val="000000" w:themeColor="text1"/>
                <w:lang w:val="en-US" w:eastAsia="zh-CN"/>
                <w14:textFill>
                  <w14:solidFill>
                    <w14:schemeClr w14:val="tx1"/>
                  </w14:solidFill>
                </w14:textFill>
              </w:rPr>
              <w:t>除味喷剂-1</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546D52D">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0.5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00E8CBF">
            <w:pPr>
              <w:widowControl/>
              <w:jc w:val="center"/>
              <w:rPr>
                <w:rFonts w:hint="eastAsia" w:ascii="宋体" w:hAnsi="宋体" w:eastAsia="宋体" w:cs="Arial"/>
                <w:i w:val="0"/>
                <w:iCs w:val="0"/>
                <w:kern w:val="0"/>
                <w:sz w:val="24"/>
                <w:szCs w:val="24"/>
                <w:lang w:eastAsia="zh-CN"/>
              </w:rPr>
            </w:pPr>
            <w:r>
              <w:rPr>
                <w:rFonts w:hint="eastAsia" w:ascii="宋体" w:hAnsi="宋体" w:cs="Arial"/>
                <w:i w:val="0"/>
                <w:iCs w:val="0"/>
                <w:kern w:val="0"/>
                <w:sz w:val="24"/>
                <w:szCs w:val="24"/>
                <w:lang w:val="en-US" w:eastAsia="zh-CN"/>
              </w:rPr>
              <w:t>N</w:t>
            </w:r>
          </w:p>
        </w:tc>
      </w:tr>
      <w:tr w14:paraId="12190DCA">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2C381703">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2</w:t>
            </w:r>
            <w:r>
              <w:rPr>
                <w:rFonts w:ascii="宋体" w:hAnsi="宋体"/>
                <w:i w:val="0"/>
                <w:iCs w:val="0"/>
                <w:color w:val="000000" w:themeColor="text1"/>
                <w:sz w:val="24"/>
                <w:szCs w:val="24"/>
                <w14:textFill>
                  <w14:solidFill>
                    <w14:schemeClr w14:val="tx1"/>
                  </w14:solidFill>
                </w14:textFill>
              </w:rPr>
              <w:t>9</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ED7A7B3">
            <w:pPr>
              <w:pStyle w:val="15"/>
              <w:spacing w:before="0" w:beforeAutospacing="0" w:after="0" w:afterAutospacing="0"/>
              <w:jc w:val="center"/>
              <w:rPr>
                <w:rFonts w:hint="default" w:cs="Times New Roman"/>
                <w:i w:val="0"/>
                <w:iCs w:val="0"/>
                <w:color w:val="000000" w:themeColor="text1"/>
                <w:lang w:val="en-US" w:eastAsia="zh-CN"/>
                <w14:textFill>
                  <w14:solidFill>
                    <w14:schemeClr w14:val="tx1"/>
                  </w14:solidFill>
                </w14:textFill>
              </w:rPr>
            </w:pPr>
            <w:r>
              <w:rPr>
                <w:rFonts w:hint="eastAsia" w:cs="Times New Roman"/>
                <w:i w:val="0"/>
                <w:iCs w:val="0"/>
                <w:color w:val="000000" w:themeColor="text1"/>
                <w:lang w:val="en-US" w:eastAsia="zh-CN"/>
                <w14:textFill>
                  <w14:solidFill>
                    <w14:schemeClr w14:val="tx1"/>
                  </w14:solidFill>
                </w14:textFill>
              </w:rPr>
              <w:t>除味喷剂-2</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2498786">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1.5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2DD6283">
            <w:pPr>
              <w:widowControl/>
              <w:jc w:val="center"/>
              <w:rPr>
                <w:rFonts w:ascii="宋体" w:hAnsi="宋体" w:cs="Arial"/>
                <w:i w:val="0"/>
                <w:iCs w:val="0"/>
                <w:kern w:val="0"/>
                <w:sz w:val="24"/>
                <w:szCs w:val="24"/>
              </w:rPr>
            </w:pPr>
            <w:r>
              <w:rPr>
                <w:rFonts w:ascii="宋体" w:hAnsi="宋体" w:cs="Arial"/>
                <w:i w:val="0"/>
                <w:iCs w:val="0"/>
                <w:kern w:val="0"/>
                <w:sz w:val="24"/>
                <w:szCs w:val="24"/>
              </w:rPr>
              <w:t>A</w:t>
            </w:r>
          </w:p>
        </w:tc>
      </w:tr>
      <w:tr w14:paraId="1190F03C">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6632BBD2">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3</w:t>
            </w:r>
            <w:r>
              <w:rPr>
                <w:rFonts w:ascii="宋体" w:hAnsi="宋体"/>
                <w:i w:val="0"/>
                <w:iCs w:val="0"/>
                <w:color w:val="000000" w:themeColor="text1"/>
                <w:sz w:val="24"/>
                <w:szCs w:val="24"/>
                <w14:textFill>
                  <w14:solidFill>
                    <w14:schemeClr w14:val="tx1"/>
                  </w14:solidFill>
                </w14:textFill>
              </w:rPr>
              <w:t>0</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35C6565">
            <w:pPr>
              <w:pStyle w:val="15"/>
              <w:spacing w:before="0" w:beforeAutospacing="0" w:after="0" w:afterAutospacing="0"/>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cs="Times New Roman"/>
                <w:i w:val="0"/>
                <w:iCs w:val="0"/>
                <w:color w:val="000000" w:themeColor="text1"/>
                <w:lang w:val="en-US" w:eastAsia="zh-CN"/>
                <w14:textFill>
                  <w14:solidFill>
                    <w14:schemeClr w14:val="tx1"/>
                  </w14:solidFill>
                </w14:textFill>
              </w:rPr>
              <w:t>除味喷剂-3</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AAAA211">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1.5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056EB63">
            <w:pPr>
              <w:widowControl/>
              <w:jc w:val="center"/>
              <w:rPr>
                <w:rFonts w:hint="eastAsia"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A</w:t>
            </w:r>
          </w:p>
        </w:tc>
      </w:tr>
      <w:tr w14:paraId="15FF9524">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005CFB47">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3</w:t>
            </w:r>
            <w:r>
              <w:rPr>
                <w:rFonts w:ascii="宋体" w:hAnsi="宋体"/>
                <w:i w:val="0"/>
                <w:iCs w:val="0"/>
                <w:color w:val="000000" w:themeColor="text1"/>
                <w:sz w:val="24"/>
                <w:szCs w:val="24"/>
                <w14:textFill>
                  <w14:solidFill>
                    <w14:schemeClr w14:val="tx1"/>
                  </w14:solidFill>
                </w14:textFill>
              </w:rPr>
              <w:t>1</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A207F3B">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地毯-</w:t>
            </w:r>
            <w:r>
              <w:rPr>
                <w:rFonts w:ascii="宋体" w:hAnsi="宋体"/>
                <w:i w:val="0"/>
                <w:iCs w:val="0"/>
                <w:color w:val="000000" w:themeColor="text1"/>
                <w:sz w:val="24"/>
                <w:szCs w:val="24"/>
                <w14:textFill>
                  <w14:solidFill>
                    <w14:schemeClr w14:val="tx1"/>
                  </w14:solidFill>
                </w14:textFill>
              </w:rPr>
              <w:t>1</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BBDA2E6">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2.0</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4B6DB16">
            <w:pPr>
              <w:widowControl/>
              <w:jc w:val="center"/>
              <w:rPr>
                <w:rFonts w:hint="default"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AA</w:t>
            </w:r>
          </w:p>
        </w:tc>
      </w:tr>
      <w:tr w14:paraId="64183FB6">
        <w:tblPrEx>
          <w:tblCellMar>
            <w:top w:w="0" w:type="dxa"/>
            <w:left w:w="0" w:type="dxa"/>
            <w:bottom w:w="0" w:type="dxa"/>
            <w:right w:w="0" w:type="dxa"/>
          </w:tblCellMar>
        </w:tblPrEx>
        <w:trPr>
          <w:trHeight w:val="92"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090937C2">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3</w:t>
            </w:r>
            <w:r>
              <w:rPr>
                <w:rFonts w:ascii="宋体" w:hAnsi="宋体"/>
                <w:i w:val="0"/>
                <w:iCs w:val="0"/>
                <w:color w:val="000000" w:themeColor="text1"/>
                <w:sz w:val="24"/>
                <w:szCs w:val="24"/>
                <w14:textFill>
                  <w14:solidFill>
                    <w14:schemeClr w14:val="tx1"/>
                  </w14:solidFill>
                </w14:textFill>
              </w:rPr>
              <w:t>2</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1ACD15D">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地毯-</w:t>
            </w:r>
            <w:r>
              <w:rPr>
                <w:rFonts w:ascii="宋体" w:hAnsi="宋体"/>
                <w:i w:val="0"/>
                <w:iCs w:val="0"/>
                <w:color w:val="000000" w:themeColor="text1"/>
                <w:sz w:val="24"/>
                <w:szCs w:val="24"/>
                <w14:textFill>
                  <w14:solidFill>
                    <w14:schemeClr w14:val="tx1"/>
                  </w14:solidFill>
                </w14:textFill>
              </w:rPr>
              <w:t>2</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DE8A5FE">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2.5</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0B03CC5">
            <w:pPr>
              <w:widowControl/>
              <w:jc w:val="center"/>
              <w:rPr>
                <w:rFonts w:hint="default" w:ascii="宋体" w:hAnsi="宋体" w:eastAsia="宋体" w:cs="Arial"/>
                <w:i w:val="0"/>
                <w:iCs w:val="0"/>
                <w:kern w:val="0"/>
                <w:sz w:val="24"/>
                <w:szCs w:val="24"/>
                <w:lang w:val="en-US" w:eastAsia="zh-CN"/>
              </w:rPr>
            </w:pPr>
            <w:r>
              <w:rPr>
                <w:rFonts w:hint="eastAsia" w:ascii="宋体" w:hAnsi="宋体" w:cs="Arial"/>
                <w:i w:val="0"/>
                <w:iCs w:val="0"/>
                <w:kern w:val="0"/>
                <w:sz w:val="24"/>
                <w:szCs w:val="24"/>
                <w:lang w:val="en-US" w:eastAsia="zh-CN"/>
              </w:rPr>
              <w:t>AA</w:t>
            </w:r>
          </w:p>
        </w:tc>
      </w:tr>
      <w:tr w14:paraId="12912C19">
        <w:tblPrEx>
          <w:tblCellMar>
            <w:top w:w="0" w:type="dxa"/>
            <w:left w:w="0" w:type="dxa"/>
            <w:bottom w:w="0" w:type="dxa"/>
            <w:right w:w="0" w:type="dxa"/>
          </w:tblCellMar>
        </w:tblPrEx>
        <w:trPr>
          <w:trHeight w:val="97" w:hRule="atLeast"/>
        </w:trPr>
        <w:tc>
          <w:tcPr>
            <w:tcW w:w="1263" w:type="dxa"/>
            <w:tcBorders>
              <w:top w:val="single" w:color="000000" w:sz="8" w:space="0"/>
              <w:left w:val="single" w:color="000000" w:sz="8" w:space="0"/>
              <w:bottom w:val="single" w:color="000000" w:sz="8" w:space="0"/>
              <w:right w:val="single" w:color="000000" w:sz="8" w:space="0"/>
            </w:tcBorders>
            <w:vAlign w:val="center"/>
          </w:tcPr>
          <w:p w14:paraId="11510EDF">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3</w:t>
            </w:r>
            <w:r>
              <w:rPr>
                <w:rFonts w:ascii="宋体" w:hAnsi="宋体"/>
                <w:i w:val="0"/>
                <w:iCs w:val="0"/>
                <w:color w:val="000000" w:themeColor="text1"/>
                <w:sz w:val="24"/>
                <w:szCs w:val="24"/>
                <w14:textFill>
                  <w14:solidFill>
                    <w14:schemeClr w14:val="tx1"/>
                  </w14:solidFill>
                </w14:textFill>
              </w:rPr>
              <w:t>3</w:t>
            </w:r>
          </w:p>
        </w:tc>
        <w:tc>
          <w:tcPr>
            <w:tcW w:w="37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DB44E1C">
            <w:pPr>
              <w:widowControl/>
              <w:jc w:val="center"/>
              <w:rPr>
                <w:rFonts w:ascii="宋体" w:hAnsi="宋体"/>
                <w:i w:val="0"/>
                <w:iCs w:val="0"/>
                <w:color w:val="000000" w:themeColor="text1"/>
                <w:sz w:val="24"/>
                <w:szCs w:val="24"/>
                <w14:textFill>
                  <w14:solidFill>
                    <w14:schemeClr w14:val="tx1"/>
                  </w14:solidFill>
                </w14:textFill>
              </w:rPr>
            </w:pPr>
            <w:r>
              <w:rPr>
                <w:rFonts w:hint="eastAsia" w:ascii="宋体" w:hAnsi="宋体"/>
                <w:i w:val="0"/>
                <w:iCs w:val="0"/>
                <w:color w:val="000000" w:themeColor="text1"/>
                <w:sz w:val="24"/>
                <w:szCs w:val="24"/>
                <w14:textFill>
                  <w14:solidFill>
                    <w14:schemeClr w14:val="tx1"/>
                  </w14:solidFill>
                </w14:textFill>
              </w:rPr>
              <w:t>地毯-</w:t>
            </w:r>
            <w:r>
              <w:rPr>
                <w:rFonts w:ascii="宋体" w:hAnsi="宋体"/>
                <w:i w:val="0"/>
                <w:iCs w:val="0"/>
                <w:color w:val="000000" w:themeColor="text1"/>
                <w:sz w:val="24"/>
                <w:szCs w:val="24"/>
                <w14:textFill>
                  <w14:solidFill>
                    <w14:schemeClr w14:val="tx1"/>
                  </w14:solidFill>
                </w14:textFill>
              </w:rPr>
              <w:t>3</w:t>
            </w:r>
          </w:p>
        </w:tc>
        <w:tc>
          <w:tcPr>
            <w:tcW w:w="45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92584DA">
            <w:pPr>
              <w:widowControl/>
              <w:jc w:val="center"/>
              <w:rPr>
                <w:rFonts w:hint="default" w:ascii="宋体" w:hAnsi="宋体" w:eastAsia="宋体"/>
                <w:i w:val="0"/>
                <w:iCs w:val="0"/>
                <w:color w:val="000000" w:themeColor="text1"/>
                <w:sz w:val="24"/>
                <w:szCs w:val="24"/>
                <w:lang w:val="en-US" w:eastAsia="zh-CN"/>
                <w14:textFill>
                  <w14:solidFill>
                    <w14:schemeClr w14:val="tx1"/>
                  </w14:solidFill>
                </w14:textFill>
              </w:rPr>
            </w:pPr>
            <w:r>
              <w:rPr>
                <w:rFonts w:hint="eastAsia" w:ascii="宋体" w:hAnsi="宋体"/>
                <w:i w:val="0"/>
                <w:iCs w:val="0"/>
                <w:color w:val="000000" w:themeColor="text1"/>
                <w:sz w:val="24"/>
                <w:szCs w:val="24"/>
                <w:lang w:val="en-US" w:eastAsia="zh-CN"/>
                <w14:textFill>
                  <w14:solidFill>
                    <w14:schemeClr w14:val="tx1"/>
                  </w14:solidFill>
                </w14:textFill>
              </w:rPr>
              <w:t>0</w:t>
            </w:r>
          </w:p>
        </w:tc>
        <w:tc>
          <w:tcPr>
            <w:tcW w:w="402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AAE0F63">
            <w:pPr>
              <w:widowControl/>
              <w:jc w:val="center"/>
              <w:rPr>
                <w:rFonts w:hint="eastAsia" w:ascii="宋体" w:hAnsi="宋体" w:eastAsia="宋体" w:cs="Arial"/>
                <w:i w:val="0"/>
                <w:iCs w:val="0"/>
                <w:kern w:val="0"/>
                <w:sz w:val="24"/>
                <w:szCs w:val="24"/>
                <w:lang w:eastAsia="zh-CN"/>
              </w:rPr>
            </w:pPr>
            <w:r>
              <w:rPr>
                <w:rFonts w:hint="eastAsia" w:ascii="宋体" w:hAnsi="宋体" w:cs="Arial"/>
                <w:i w:val="0"/>
                <w:iCs w:val="0"/>
                <w:kern w:val="0"/>
                <w:sz w:val="24"/>
                <w:szCs w:val="24"/>
                <w:lang w:val="en-US" w:eastAsia="zh-CN"/>
              </w:rPr>
              <w:t>N</w:t>
            </w:r>
          </w:p>
        </w:tc>
      </w:tr>
    </w:tbl>
    <w:p w14:paraId="66557A78">
      <w:pPr>
        <w:pStyle w:val="29"/>
        <w:spacing w:line="360" w:lineRule="auto"/>
        <w:ind w:firstLine="483"/>
        <w:rPr>
          <w:rStyle w:val="20"/>
          <w:rFonts w:ascii="Times New Roman"/>
          <w:b w:val="0"/>
          <w:bCs/>
          <w:sz w:val="24"/>
          <w:szCs w:val="24"/>
        </w:rPr>
      </w:pPr>
      <w:r>
        <w:rPr>
          <w:rStyle w:val="20"/>
          <w:rFonts w:hint="eastAsia" w:ascii="Times New Roman"/>
          <w:b w:val="0"/>
          <w:bCs/>
          <w:sz w:val="24"/>
          <w:szCs w:val="24"/>
        </w:rPr>
        <w:t>可以看出本标准方法对于</w:t>
      </w:r>
      <w:r>
        <w:rPr>
          <w:rStyle w:val="20"/>
          <w:rFonts w:hint="eastAsia" w:ascii="Times New Roman"/>
          <w:b w:val="0"/>
          <w:bCs/>
          <w:sz w:val="24"/>
          <w:szCs w:val="24"/>
          <w:lang w:val="en-US" w:eastAsia="zh-CN"/>
        </w:rPr>
        <w:t>室内空气净化</w:t>
      </w:r>
      <w:r>
        <w:rPr>
          <w:rStyle w:val="20"/>
          <w:rFonts w:hint="eastAsia" w:ascii="Times New Roman"/>
          <w:b w:val="0"/>
          <w:bCs/>
          <w:sz w:val="24"/>
          <w:szCs w:val="24"/>
        </w:rPr>
        <w:t>材料具有良好的区分度。</w:t>
      </w:r>
    </w:p>
    <w:p w14:paraId="7848410E">
      <w:pPr>
        <w:pStyle w:val="63"/>
        <w:spacing w:before="156" w:after="156" w:line="360" w:lineRule="auto"/>
        <w:rPr>
          <w:rStyle w:val="20"/>
          <w:rFonts w:ascii="Times New Roman"/>
          <w:b w:val="0"/>
          <w:sz w:val="24"/>
          <w:szCs w:val="24"/>
        </w:rPr>
      </w:pPr>
      <w:r>
        <w:rPr>
          <w:rStyle w:val="20"/>
          <w:rFonts w:ascii="Times New Roman"/>
          <w:b w:val="0"/>
          <w:sz w:val="24"/>
          <w:szCs w:val="24"/>
        </w:rPr>
        <w:t>4</w:t>
      </w:r>
      <w:r>
        <w:rPr>
          <w:rStyle w:val="20"/>
          <w:rFonts w:hint="eastAsia" w:ascii="Times New Roman"/>
          <w:b w:val="0"/>
          <w:sz w:val="24"/>
          <w:szCs w:val="24"/>
        </w:rPr>
        <w:t>、气味性能分级</w:t>
      </w:r>
    </w:p>
    <w:p w14:paraId="06F4B2C5">
      <w:pPr>
        <w:pStyle w:val="63"/>
        <w:spacing w:before="156" w:after="156" w:line="360" w:lineRule="auto"/>
        <w:rPr>
          <w:rStyle w:val="20"/>
          <w:rFonts w:ascii="Times New Roman"/>
          <w:b w:val="0"/>
          <w:sz w:val="24"/>
          <w:szCs w:val="24"/>
        </w:rPr>
      </w:pPr>
      <w:r>
        <w:rPr>
          <w:rStyle w:val="20"/>
          <w:rFonts w:hint="eastAsia" w:ascii="Times New Roman"/>
          <w:b w:val="0"/>
          <w:sz w:val="24"/>
          <w:szCs w:val="24"/>
        </w:rPr>
        <w:t>按照本标准对</w:t>
      </w:r>
      <w:r>
        <w:rPr>
          <w:rStyle w:val="20"/>
          <w:rFonts w:hint="eastAsia" w:ascii="Times New Roman"/>
          <w:b w:val="0"/>
          <w:sz w:val="24"/>
          <w:szCs w:val="24"/>
          <w:lang w:val="en-US" w:eastAsia="zh-CN"/>
        </w:rPr>
        <w:t>空气净化材料的净味性能进行</w:t>
      </w:r>
      <w:r>
        <w:rPr>
          <w:rStyle w:val="20"/>
          <w:rFonts w:hint="eastAsia" w:ascii="Times New Roman"/>
          <w:b w:val="0"/>
          <w:sz w:val="24"/>
          <w:szCs w:val="24"/>
        </w:rPr>
        <w:t>分级，统计不同等级</w:t>
      </w:r>
      <w:r>
        <w:rPr>
          <w:rStyle w:val="20"/>
          <w:rFonts w:hint="eastAsia" w:ascii="Times New Roman"/>
          <w:b w:val="0"/>
          <w:sz w:val="24"/>
          <w:szCs w:val="24"/>
          <w:lang w:val="en-US" w:eastAsia="zh-CN"/>
        </w:rPr>
        <w:t>样品</w:t>
      </w:r>
      <w:r>
        <w:rPr>
          <w:rStyle w:val="20"/>
          <w:rFonts w:hint="eastAsia" w:ascii="Times New Roman"/>
          <w:b w:val="0"/>
          <w:sz w:val="24"/>
          <w:szCs w:val="24"/>
        </w:rPr>
        <w:t>的数量，见表</w:t>
      </w:r>
      <w:r>
        <w:rPr>
          <w:rStyle w:val="20"/>
          <w:rFonts w:ascii="Times New Roman"/>
          <w:b w:val="0"/>
          <w:sz w:val="24"/>
          <w:szCs w:val="24"/>
        </w:rPr>
        <w:t>A.</w:t>
      </w:r>
      <w:r>
        <w:rPr>
          <w:rStyle w:val="20"/>
          <w:rFonts w:hint="eastAsia" w:ascii="Times New Roman"/>
          <w:b w:val="0"/>
          <w:sz w:val="24"/>
          <w:szCs w:val="24"/>
          <w:lang w:val="en-US" w:eastAsia="zh-CN"/>
        </w:rPr>
        <w:t>4</w:t>
      </w:r>
      <w:r>
        <w:rPr>
          <w:rStyle w:val="20"/>
          <w:rFonts w:hint="eastAsia" w:ascii="Times New Roman"/>
          <w:b w:val="0"/>
          <w:sz w:val="24"/>
          <w:szCs w:val="24"/>
        </w:rPr>
        <w:t>和图</w:t>
      </w:r>
      <w:r>
        <w:rPr>
          <w:rStyle w:val="20"/>
          <w:rFonts w:ascii="Times New Roman"/>
          <w:b w:val="0"/>
          <w:sz w:val="24"/>
          <w:szCs w:val="24"/>
        </w:rPr>
        <w:t>A.1</w:t>
      </w:r>
      <w:r>
        <w:rPr>
          <w:rStyle w:val="20"/>
          <w:rFonts w:hint="eastAsia" w:ascii="Times New Roman"/>
          <w:b w:val="0"/>
          <w:sz w:val="24"/>
          <w:szCs w:val="24"/>
        </w:rPr>
        <w:t>。</w:t>
      </w:r>
    </w:p>
    <w:p w14:paraId="747AECA1">
      <w:pPr>
        <w:pStyle w:val="29"/>
        <w:adjustRightInd w:val="0"/>
        <w:snapToGrid w:val="0"/>
        <w:spacing w:before="156" w:beforeLines="50" w:after="156" w:afterLines="50"/>
        <w:ind w:firstLine="0" w:firstLineChars="0"/>
        <w:jc w:val="center"/>
        <w:rPr>
          <w:rFonts w:ascii="Times New Roman"/>
          <w:b/>
          <w:sz w:val="24"/>
          <w:szCs w:val="24"/>
        </w:rPr>
      </w:pPr>
      <w:r>
        <w:rPr>
          <w:rFonts w:hint="eastAsia" w:ascii="Times New Roman"/>
          <w:b/>
          <w:sz w:val="24"/>
          <w:szCs w:val="24"/>
        </w:rPr>
        <w:t>表A.</w:t>
      </w:r>
      <w:r>
        <w:rPr>
          <w:rFonts w:hint="eastAsia" w:ascii="Times New Roman"/>
          <w:b/>
          <w:sz w:val="24"/>
          <w:szCs w:val="24"/>
          <w:lang w:val="en-US" w:eastAsia="zh-CN"/>
        </w:rPr>
        <w:t xml:space="preserve">4 </w:t>
      </w:r>
      <w:r>
        <w:rPr>
          <w:rFonts w:hint="eastAsia" w:ascii="Times New Roman"/>
          <w:b/>
          <w:sz w:val="24"/>
          <w:szCs w:val="24"/>
        </w:rPr>
        <w:t>不同</w:t>
      </w:r>
      <w:r>
        <w:rPr>
          <w:rFonts w:ascii="Times New Roman"/>
          <w:b/>
          <w:sz w:val="24"/>
          <w:szCs w:val="24"/>
        </w:rPr>
        <w:t>等级</w:t>
      </w:r>
      <w:r>
        <w:rPr>
          <w:rFonts w:hint="eastAsia" w:ascii="Times New Roman"/>
          <w:b/>
          <w:sz w:val="24"/>
          <w:szCs w:val="24"/>
          <w:lang w:val="en-US" w:eastAsia="zh-CN"/>
        </w:rPr>
        <w:t>样品</w:t>
      </w:r>
      <w:r>
        <w:rPr>
          <w:rFonts w:ascii="Times New Roman"/>
          <w:b/>
          <w:sz w:val="24"/>
          <w:szCs w:val="24"/>
        </w:rPr>
        <w:t>数量分布</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5016"/>
        <w:gridCol w:w="5234"/>
      </w:tblGrid>
      <w:tr w14:paraId="45D99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blHeader/>
          <w:jc w:val="center"/>
        </w:trPr>
        <w:tc>
          <w:tcPr>
            <w:tcW w:w="222" w:type="dxa"/>
            <w:tcBorders>
              <w:top w:val="nil"/>
              <w:left w:val="nil"/>
              <w:bottom w:val="nil"/>
              <w:right w:val="single" w:color="000000" w:themeColor="text1" w:sz="4" w:space="0"/>
            </w:tcBorders>
          </w:tcPr>
          <w:p w14:paraId="2AD4DE1E">
            <w:pPr>
              <w:adjustRightInd w:val="0"/>
              <w:snapToGrid w:val="0"/>
              <w:jc w:val="center"/>
              <w:rPr>
                <w:rStyle w:val="20"/>
                <w:rFonts w:ascii="Times New Roman" w:hAnsi="Times New Roman"/>
                <w:b w:val="0"/>
                <w:sz w:val="24"/>
                <w:szCs w:val="24"/>
              </w:rPr>
            </w:pPr>
          </w:p>
        </w:tc>
        <w:tc>
          <w:tcPr>
            <w:tcW w:w="5016" w:type="dxa"/>
            <w:tcBorders>
              <w:left w:val="single" w:color="000000" w:themeColor="text1" w:sz="4" w:space="0"/>
            </w:tcBorders>
            <w:vAlign w:val="center"/>
          </w:tcPr>
          <w:p w14:paraId="4359E1AA">
            <w:pPr>
              <w:adjustRightInd w:val="0"/>
              <w:snapToGrid w:val="0"/>
              <w:jc w:val="center"/>
              <w:rPr>
                <w:rStyle w:val="20"/>
                <w:rFonts w:ascii="Times New Roman" w:hAnsi="Times New Roman"/>
                <w:b w:val="0"/>
                <w:sz w:val="24"/>
                <w:szCs w:val="24"/>
              </w:rPr>
            </w:pPr>
            <w:r>
              <w:rPr>
                <w:rStyle w:val="20"/>
                <w:rFonts w:ascii="Times New Roman" w:hAnsi="Times New Roman"/>
                <w:b w:val="0"/>
                <w:sz w:val="24"/>
                <w:szCs w:val="24"/>
              </w:rPr>
              <w:t>气味性能等级</w:t>
            </w:r>
          </w:p>
        </w:tc>
        <w:tc>
          <w:tcPr>
            <w:tcW w:w="5234" w:type="dxa"/>
            <w:vAlign w:val="center"/>
          </w:tcPr>
          <w:p w14:paraId="6A331C82">
            <w:pPr>
              <w:adjustRightInd w:val="0"/>
              <w:snapToGrid w:val="0"/>
              <w:jc w:val="center"/>
              <w:rPr>
                <w:rStyle w:val="20"/>
                <w:rFonts w:ascii="Times New Roman" w:hAnsi="Times New Roman"/>
                <w:b w:val="0"/>
                <w:sz w:val="24"/>
                <w:szCs w:val="24"/>
              </w:rPr>
            </w:pPr>
            <w:r>
              <w:rPr>
                <w:rStyle w:val="20"/>
                <w:rFonts w:hint="eastAsia" w:ascii="Times New Roman" w:hAnsi="Times New Roman"/>
                <w:b w:val="0"/>
                <w:sz w:val="24"/>
                <w:szCs w:val="24"/>
              </w:rPr>
              <w:t>样品</w:t>
            </w:r>
            <w:r>
              <w:rPr>
                <w:rStyle w:val="20"/>
                <w:rFonts w:ascii="Times New Roman" w:hAnsi="Times New Roman"/>
                <w:b w:val="0"/>
                <w:sz w:val="24"/>
                <w:szCs w:val="24"/>
              </w:rPr>
              <w:t>数量</w:t>
            </w:r>
            <w:r>
              <w:rPr>
                <w:rStyle w:val="20"/>
                <w:rFonts w:hint="eastAsia" w:ascii="Times New Roman" w:hAnsi="Times New Roman"/>
                <w:b w:val="0"/>
                <w:sz w:val="24"/>
                <w:szCs w:val="24"/>
              </w:rPr>
              <w:t>/个</w:t>
            </w:r>
          </w:p>
        </w:tc>
      </w:tr>
      <w:tr w14:paraId="4754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222" w:type="dxa"/>
            <w:tcBorders>
              <w:top w:val="nil"/>
              <w:left w:val="nil"/>
              <w:bottom w:val="nil"/>
              <w:right w:val="single" w:color="000000" w:themeColor="text1" w:sz="4" w:space="0"/>
            </w:tcBorders>
          </w:tcPr>
          <w:p w14:paraId="48104E9E">
            <w:pPr>
              <w:adjustRightInd w:val="0"/>
              <w:snapToGrid w:val="0"/>
              <w:jc w:val="center"/>
              <w:rPr>
                <w:rStyle w:val="20"/>
                <w:rFonts w:ascii="Times New Roman" w:hAnsi="Times New Roman"/>
                <w:b w:val="0"/>
                <w:sz w:val="24"/>
                <w:szCs w:val="24"/>
              </w:rPr>
            </w:pPr>
          </w:p>
        </w:tc>
        <w:tc>
          <w:tcPr>
            <w:tcW w:w="5016" w:type="dxa"/>
            <w:tcBorders>
              <w:left w:val="single" w:color="000000" w:themeColor="text1" w:sz="4" w:space="0"/>
            </w:tcBorders>
            <w:vAlign w:val="center"/>
          </w:tcPr>
          <w:p w14:paraId="34A4E6D4">
            <w:pPr>
              <w:adjustRightInd w:val="0"/>
              <w:snapToGrid w:val="0"/>
              <w:jc w:val="center"/>
              <w:rPr>
                <w:rStyle w:val="20"/>
                <w:rFonts w:hint="eastAsia" w:ascii="Times New Roman" w:hAnsi="Times New Roman" w:eastAsia="宋体"/>
                <w:b w:val="0"/>
                <w:sz w:val="24"/>
                <w:szCs w:val="24"/>
                <w:lang w:val="en-US" w:eastAsia="zh-CN"/>
              </w:rPr>
            </w:pPr>
            <w:r>
              <w:rPr>
                <w:rStyle w:val="20"/>
                <w:rFonts w:hint="eastAsia" w:ascii="Times New Roman" w:hAnsi="Times New Roman"/>
                <w:b w:val="0"/>
                <w:sz w:val="24"/>
                <w:szCs w:val="24"/>
                <w:lang w:val="en-US" w:eastAsia="zh-CN"/>
              </w:rPr>
              <w:t>N</w:t>
            </w:r>
          </w:p>
        </w:tc>
        <w:tc>
          <w:tcPr>
            <w:tcW w:w="5234" w:type="dxa"/>
            <w:vAlign w:val="center"/>
          </w:tcPr>
          <w:p w14:paraId="35382E47">
            <w:pPr>
              <w:adjustRightInd w:val="0"/>
              <w:snapToGrid w:val="0"/>
              <w:jc w:val="center"/>
              <w:rPr>
                <w:rStyle w:val="20"/>
                <w:rFonts w:hint="eastAsia" w:ascii="Times New Roman" w:hAnsi="Times New Roman" w:eastAsia="宋体"/>
                <w:b w:val="0"/>
                <w:sz w:val="24"/>
                <w:szCs w:val="24"/>
                <w:lang w:eastAsia="zh-CN"/>
              </w:rPr>
            </w:pPr>
            <w:r>
              <w:rPr>
                <w:rStyle w:val="20"/>
                <w:rFonts w:hint="eastAsia" w:ascii="Times New Roman" w:hAnsi="Times New Roman"/>
                <w:b w:val="0"/>
                <w:sz w:val="24"/>
                <w:szCs w:val="24"/>
                <w:lang w:val="en-US" w:eastAsia="zh-CN"/>
              </w:rPr>
              <w:t>6</w:t>
            </w:r>
          </w:p>
        </w:tc>
      </w:tr>
      <w:tr w14:paraId="5ABF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22" w:type="dxa"/>
            <w:tcBorders>
              <w:top w:val="nil"/>
              <w:left w:val="nil"/>
              <w:bottom w:val="nil"/>
              <w:right w:val="single" w:color="000000" w:themeColor="text1" w:sz="4" w:space="0"/>
            </w:tcBorders>
          </w:tcPr>
          <w:p w14:paraId="05AC4FC0">
            <w:pPr>
              <w:adjustRightInd w:val="0"/>
              <w:snapToGrid w:val="0"/>
              <w:jc w:val="center"/>
              <w:rPr>
                <w:rStyle w:val="20"/>
                <w:rFonts w:ascii="Times New Roman" w:hAnsi="Times New Roman"/>
                <w:b w:val="0"/>
                <w:sz w:val="24"/>
                <w:szCs w:val="24"/>
              </w:rPr>
            </w:pPr>
          </w:p>
        </w:tc>
        <w:tc>
          <w:tcPr>
            <w:tcW w:w="5016" w:type="dxa"/>
            <w:tcBorders>
              <w:left w:val="single" w:color="000000" w:themeColor="text1" w:sz="4" w:space="0"/>
            </w:tcBorders>
            <w:vAlign w:val="center"/>
          </w:tcPr>
          <w:p w14:paraId="3E7C27BB">
            <w:pPr>
              <w:adjustRightInd w:val="0"/>
              <w:snapToGrid w:val="0"/>
              <w:jc w:val="center"/>
              <w:rPr>
                <w:rStyle w:val="20"/>
                <w:rFonts w:ascii="Times New Roman" w:hAnsi="Times New Roman"/>
                <w:b w:val="0"/>
                <w:sz w:val="24"/>
                <w:szCs w:val="24"/>
              </w:rPr>
            </w:pPr>
            <w:r>
              <w:rPr>
                <w:rStyle w:val="20"/>
                <w:rFonts w:hint="eastAsia" w:ascii="Times New Roman" w:hAnsi="Times New Roman"/>
                <w:b w:val="0"/>
                <w:sz w:val="24"/>
                <w:szCs w:val="24"/>
              </w:rPr>
              <w:t>A</w:t>
            </w:r>
          </w:p>
        </w:tc>
        <w:tc>
          <w:tcPr>
            <w:tcW w:w="5234" w:type="dxa"/>
            <w:vAlign w:val="center"/>
          </w:tcPr>
          <w:p w14:paraId="3C0D0681">
            <w:pPr>
              <w:adjustRightInd w:val="0"/>
              <w:snapToGrid w:val="0"/>
              <w:jc w:val="center"/>
              <w:rPr>
                <w:rStyle w:val="20"/>
                <w:rFonts w:hint="default" w:ascii="Times New Roman" w:hAnsi="Times New Roman" w:eastAsia="宋体"/>
                <w:b w:val="0"/>
                <w:sz w:val="24"/>
                <w:szCs w:val="24"/>
                <w:lang w:val="en-US" w:eastAsia="zh-CN"/>
              </w:rPr>
            </w:pPr>
            <w:r>
              <w:rPr>
                <w:rStyle w:val="20"/>
                <w:rFonts w:hint="eastAsia" w:ascii="Times New Roman" w:hAnsi="Times New Roman"/>
                <w:b w:val="0"/>
                <w:sz w:val="24"/>
                <w:szCs w:val="24"/>
                <w:lang w:val="en-US" w:eastAsia="zh-CN"/>
              </w:rPr>
              <w:t>14</w:t>
            </w:r>
          </w:p>
        </w:tc>
      </w:tr>
      <w:tr w14:paraId="032A5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222" w:type="dxa"/>
            <w:tcBorders>
              <w:top w:val="nil"/>
              <w:left w:val="nil"/>
              <w:bottom w:val="nil"/>
              <w:right w:val="single" w:color="000000" w:themeColor="text1" w:sz="4" w:space="0"/>
            </w:tcBorders>
          </w:tcPr>
          <w:p w14:paraId="77129C90">
            <w:pPr>
              <w:adjustRightInd w:val="0"/>
              <w:snapToGrid w:val="0"/>
              <w:jc w:val="center"/>
              <w:rPr>
                <w:rStyle w:val="20"/>
                <w:rFonts w:ascii="Times New Roman" w:hAnsi="Times New Roman"/>
                <w:b w:val="0"/>
                <w:sz w:val="24"/>
                <w:szCs w:val="24"/>
              </w:rPr>
            </w:pPr>
          </w:p>
        </w:tc>
        <w:tc>
          <w:tcPr>
            <w:tcW w:w="5016" w:type="dxa"/>
            <w:tcBorders>
              <w:left w:val="single" w:color="000000" w:themeColor="text1" w:sz="4" w:space="0"/>
            </w:tcBorders>
            <w:vAlign w:val="center"/>
          </w:tcPr>
          <w:p w14:paraId="200D45E9">
            <w:pPr>
              <w:adjustRightInd w:val="0"/>
              <w:snapToGrid w:val="0"/>
              <w:jc w:val="center"/>
              <w:rPr>
                <w:rStyle w:val="20"/>
                <w:rFonts w:hint="default" w:ascii="Times New Roman" w:hAnsi="Times New Roman" w:eastAsia="宋体"/>
                <w:b w:val="0"/>
                <w:sz w:val="24"/>
                <w:szCs w:val="24"/>
                <w:lang w:val="en-US" w:eastAsia="zh-CN"/>
              </w:rPr>
            </w:pPr>
            <w:r>
              <w:rPr>
                <w:rStyle w:val="20"/>
                <w:rFonts w:hint="eastAsia" w:ascii="Times New Roman" w:hAnsi="Times New Roman"/>
                <w:b w:val="0"/>
                <w:sz w:val="24"/>
                <w:szCs w:val="24"/>
                <w:lang w:val="en-US" w:eastAsia="zh-CN"/>
              </w:rPr>
              <w:t>AA</w:t>
            </w:r>
          </w:p>
        </w:tc>
        <w:tc>
          <w:tcPr>
            <w:tcW w:w="5234" w:type="dxa"/>
            <w:vAlign w:val="center"/>
          </w:tcPr>
          <w:p w14:paraId="383FD064">
            <w:pPr>
              <w:adjustRightInd w:val="0"/>
              <w:snapToGrid w:val="0"/>
              <w:jc w:val="center"/>
              <w:rPr>
                <w:rStyle w:val="20"/>
                <w:rFonts w:hint="default" w:ascii="Times New Roman" w:hAnsi="Times New Roman" w:eastAsia="宋体"/>
                <w:b w:val="0"/>
                <w:sz w:val="24"/>
                <w:szCs w:val="24"/>
                <w:lang w:val="en-US" w:eastAsia="zh-CN"/>
              </w:rPr>
            </w:pPr>
            <w:r>
              <w:rPr>
                <w:rStyle w:val="20"/>
                <w:rFonts w:hint="eastAsia" w:ascii="Times New Roman" w:hAnsi="Times New Roman"/>
                <w:b w:val="0"/>
                <w:sz w:val="24"/>
                <w:szCs w:val="24"/>
                <w:lang w:val="en-US" w:eastAsia="zh-CN"/>
              </w:rPr>
              <w:t>10</w:t>
            </w:r>
          </w:p>
        </w:tc>
      </w:tr>
      <w:tr w14:paraId="2FCBF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222" w:type="dxa"/>
            <w:tcBorders>
              <w:top w:val="nil"/>
              <w:left w:val="nil"/>
              <w:bottom w:val="nil"/>
              <w:right w:val="single" w:color="000000" w:themeColor="text1" w:sz="4" w:space="0"/>
            </w:tcBorders>
          </w:tcPr>
          <w:p w14:paraId="095F96AC">
            <w:pPr>
              <w:adjustRightInd w:val="0"/>
              <w:snapToGrid w:val="0"/>
              <w:jc w:val="center"/>
              <w:rPr>
                <w:rStyle w:val="20"/>
                <w:rFonts w:ascii="Times New Roman" w:hAnsi="Times New Roman"/>
                <w:b w:val="0"/>
                <w:sz w:val="24"/>
                <w:szCs w:val="24"/>
              </w:rPr>
            </w:pPr>
          </w:p>
        </w:tc>
        <w:tc>
          <w:tcPr>
            <w:tcW w:w="5016" w:type="dxa"/>
            <w:tcBorders>
              <w:left w:val="single" w:color="000000" w:themeColor="text1" w:sz="4" w:space="0"/>
            </w:tcBorders>
            <w:vAlign w:val="center"/>
          </w:tcPr>
          <w:p w14:paraId="3323F93D">
            <w:pPr>
              <w:adjustRightInd w:val="0"/>
              <w:snapToGrid w:val="0"/>
              <w:jc w:val="center"/>
              <w:rPr>
                <w:rStyle w:val="20"/>
                <w:rFonts w:hint="default" w:ascii="Times New Roman" w:hAnsi="Times New Roman" w:eastAsia="宋体"/>
                <w:b w:val="0"/>
                <w:sz w:val="24"/>
                <w:szCs w:val="24"/>
                <w:lang w:val="en-US" w:eastAsia="zh-CN"/>
              </w:rPr>
            </w:pPr>
            <w:r>
              <w:rPr>
                <w:rStyle w:val="20"/>
                <w:rFonts w:hint="eastAsia" w:ascii="Times New Roman" w:hAnsi="Times New Roman"/>
                <w:b w:val="0"/>
                <w:sz w:val="24"/>
                <w:szCs w:val="24"/>
                <w:lang w:val="en-US" w:eastAsia="zh-CN"/>
              </w:rPr>
              <w:t>AAA</w:t>
            </w:r>
          </w:p>
        </w:tc>
        <w:tc>
          <w:tcPr>
            <w:tcW w:w="5234" w:type="dxa"/>
            <w:vAlign w:val="center"/>
          </w:tcPr>
          <w:p w14:paraId="061D5ED7">
            <w:pPr>
              <w:adjustRightInd w:val="0"/>
              <w:snapToGrid w:val="0"/>
              <w:jc w:val="center"/>
              <w:rPr>
                <w:rStyle w:val="20"/>
                <w:rFonts w:hint="eastAsia" w:ascii="Times New Roman" w:hAnsi="Times New Roman" w:eastAsia="宋体"/>
                <w:b w:val="0"/>
                <w:sz w:val="24"/>
                <w:szCs w:val="24"/>
                <w:lang w:eastAsia="zh-CN"/>
              </w:rPr>
            </w:pPr>
            <w:r>
              <w:rPr>
                <w:rStyle w:val="20"/>
                <w:rFonts w:hint="eastAsia" w:ascii="Times New Roman" w:hAnsi="Times New Roman"/>
                <w:b w:val="0"/>
                <w:sz w:val="24"/>
                <w:szCs w:val="24"/>
                <w:lang w:val="en-US" w:eastAsia="zh-CN"/>
              </w:rPr>
              <w:t>3</w:t>
            </w:r>
          </w:p>
        </w:tc>
      </w:tr>
    </w:tbl>
    <w:p w14:paraId="40152209">
      <w:pPr>
        <w:spacing w:before="156" w:after="156" w:line="360" w:lineRule="auto"/>
        <w:jc w:val="center"/>
        <w:rPr>
          <w:rStyle w:val="20"/>
          <w:rFonts w:ascii="Times New Roman" w:hAnsi="Times New Roman"/>
          <w:b w:val="0"/>
          <w:sz w:val="24"/>
          <w:szCs w:val="24"/>
        </w:rPr>
      </w:pPr>
      <w:r>
        <w:drawing>
          <wp:inline distT="0" distB="0" distL="114300" distR="114300">
            <wp:extent cx="4024630" cy="3256280"/>
            <wp:effectExtent l="0" t="0" r="13970" b="127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a:stretch>
                      <a:fillRect/>
                    </a:stretch>
                  </pic:blipFill>
                  <pic:spPr>
                    <a:xfrm>
                      <a:off x="0" y="0"/>
                      <a:ext cx="4024630" cy="3256280"/>
                    </a:xfrm>
                    <a:prstGeom prst="rect">
                      <a:avLst/>
                    </a:prstGeom>
                    <a:noFill/>
                    <a:ln>
                      <a:noFill/>
                    </a:ln>
                  </pic:spPr>
                </pic:pic>
              </a:graphicData>
            </a:graphic>
          </wp:inline>
        </w:drawing>
      </w:r>
    </w:p>
    <w:p w14:paraId="05C77745">
      <w:pPr>
        <w:spacing w:before="156" w:after="156" w:line="360" w:lineRule="auto"/>
        <w:jc w:val="center"/>
        <w:rPr>
          <w:rStyle w:val="20"/>
          <w:rFonts w:ascii="Times New Roman" w:hAnsi="Times New Roman"/>
          <w:b w:val="0"/>
          <w:sz w:val="24"/>
          <w:szCs w:val="24"/>
        </w:rPr>
      </w:pPr>
      <w:r>
        <w:rPr>
          <w:rStyle w:val="20"/>
          <w:rFonts w:hint="eastAsia" w:ascii="Times New Roman" w:hAnsi="Times New Roman"/>
          <w:b w:val="0"/>
          <w:sz w:val="24"/>
          <w:szCs w:val="24"/>
        </w:rPr>
        <w:t>图A.</w:t>
      </w:r>
      <w:r>
        <w:rPr>
          <w:rStyle w:val="20"/>
          <w:rFonts w:ascii="Times New Roman" w:hAnsi="Times New Roman"/>
          <w:b w:val="0"/>
          <w:sz w:val="24"/>
          <w:szCs w:val="24"/>
        </w:rPr>
        <w:t xml:space="preserve">1 </w:t>
      </w:r>
      <w:r>
        <w:rPr>
          <w:rStyle w:val="20"/>
          <w:rFonts w:hint="eastAsia" w:ascii="Times New Roman" w:hAnsi="Times New Roman"/>
          <w:b w:val="0"/>
          <w:sz w:val="24"/>
          <w:szCs w:val="24"/>
        </w:rPr>
        <w:t>验证试验样品气味</w:t>
      </w:r>
      <w:r>
        <w:rPr>
          <w:rStyle w:val="20"/>
          <w:rFonts w:hint="eastAsia" w:ascii="Times New Roman" w:hAnsi="Times New Roman"/>
          <w:b w:val="0"/>
          <w:sz w:val="24"/>
          <w:szCs w:val="24"/>
          <w:lang w:val="en-US" w:eastAsia="zh-CN"/>
        </w:rPr>
        <w:t>净化</w:t>
      </w:r>
      <w:r>
        <w:rPr>
          <w:rStyle w:val="20"/>
          <w:rFonts w:hint="eastAsia" w:ascii="Times New Roman" w:hAnsi="Times New Roman"/>
          <w:b w:val="0"/>
          <w:sz w:val="24"/>
          <w:szCs w:val="24"/>
        </w:rPr>
        <w:t>性能等级分布</w:t>
      </w:r>
    </w:p>
    <w:p w14:paraId="50375281">
      <w:pPr>
        <w:spacing w:before="156" w:after="156" w:line="360" w:lineRule="auto"/>
        <w:ind w:firstLine="723" w:firstLineChars="300"/>
        <w:rPr>
          <w:rStyle w:val="20"/>
          <w:rFonts w:ascii="Times New Roman" w:hAnsi="Times New Roman"/>
          <w:b w:val="0"/>
          <w:sz w:val="24"/>
          <w:szCs w:val="24"/>
        </w:rPr>
      </w:pPr>
      <w:r>
        <w:rPr>
          <w:rStyle w:val="20"/>
          <w:rFonts w:hint="eastAsia" w:ascii="Times New Roman" w:hAnsi="Times New Roman"/>
          <w:b w:val="0"/>
          <w:sz w:val="24"/>
          <w:szCs w:val="24"/>
        </w:rPr>
        <w:t>可以</w:t>
      </w:r>
      <w:r>
        <w:rPr>
          <w:rStyle w:val="20"/>
          <w:rFonts w:ascii="Times New Roman" w:hAnsi="Times New Roman"/>
          <w:b w:val="0"/>
          <w:sz w:val="24"/>
          <w:szCs w:val="24"/>
        </w:rPr>
        <w:t>看出本标准对于</w:t>
      </w:r>
      <w:r>
        <w:rPr>
          <w:rStyle w:val="20"/>
          <w:rFonts w:hint="eastAsia" w:ascii="Times New Roman" w:hAnsi="Times New Roman"/>
          <w:b w:val="0"/>
          <w:sz w:val="24"/>
          <w:szCs w:val="24"/>
          <w:lang w:val="en-US" w:eastAsia="zh-CN"/>
        </w:rPr>
        <w:t>空气净化</w:t>
      </w:r>
      <w:r>
        <w:rPr>
          <w:rStyle w:val="20"/>
          <w:rFonts w:hint="eastAsia" w:ascii="Times New Roman" w:hAnsi="Times New Roman"/>
          <w:b w:val="0"/>
          <w:sz w:val="24"/>
          <w:szCs w:val="24"/>
        </w:rPr>
        <w:t>材料</w:t>
      </w:r>
      <w:r>
        <w:rPr>
          <w:rStyle w:val="20"/>
          <w:rFonts w:ascii="Times New Roman" w:hAnsi="Times New Roman"/>
          <w:b w:val="0"/>
          <w:sz w:val="24"/>
          <w:szCs w:val="24"/>
        </w:rPr>
        <w:t>气味</w:t>
      </w:r>
      <w:r>
        <w:rPr>
          <w:rStyle w:val="20"/>
          <w:rFonts w:hint="eastAsia" w:ascii="Times New Roman" w:hAnsi="Times New Roman"/>
          <w:b w:val="0"/>
          <w:sz w:val="24"/>
          <w:szCs w:val="24"/>
          <w:lang w:val="en-US" w:eastAsia="zh-CN"/>
        </w:rPr>
        <w:t>净化性能</w:t>
      </w:r>
      <w:r>
        <w:rPr>
          <w:rStyle w:val="20"/>
          <w:rFonts w:ascii="Times New Roman" w:hAnsi="Times New Roman"/>
          <w:b w:val="0"/>
          <w:sz w:val="24"/>
          <w:szCs w:val="24"/>
        </w:rPr>
        <w:t>分级区分度良好。</w:t>
      </w:r>
      <w:bookmarkStart w:id="57" w:name="_Hlk49893792"/>
    </w:p>
    <w:bookmarkEnd w:id="57"/>
    <w:p w14:paraId="756500CB">
      <w:pPr>
        <w:spacing w:before="156" w:after="156" w:line="360" w:lineRule="auto"/>
        <w:rPr>
          <w:rStyle w:val="20"/>
          <w:rFonts w:ascii="Times New Roman" w:hAnsi="Times New Roman"/>
          <w:b w:val="0"/>
          <w:sz w:val="24"/>
          <w:szCs w:val="24"/>
        </w:rPr>
      </w:pPr>
      <w:r>
        <w:rPr>
          <w:rStyle w:val="20"/>
          <w:rFonts w:ascii="Times New Roman" w:hAnsi="Times New Roman"/>
          <w:b w:val="0"/>
          <w:sz w:val="24"/>
          <w:szCs w:val="24"/>
        </w:rPr>
        <w:t>5</w:t>
      </w:r>
      <w:r>
        <w:rPr>
          <w:rStyle w:val="20"/>
          <w:rFonts w:hint="eastAsia" w:ascii="Times New Roman" w:hAnsi="Times New Roman"/>
          <w:b w:val="0"/>
          <w:sz w:val="24"/>
          <w:szCs w:val="24"/>
        </w:rPr>
        <w:t>、总结</w:t>
      </w:r>
    </w:p>
    <w:p w14:paraId="27FDAC3F">
      <w:pPr>
        <w:spacing w:before="156" w:after="156" w:line="360" w:lineRule="auto"/>
        <w:ind w:firstLine="423" w:firstLineChars="176"/>
        <w:rPr>
          <w:rStyle w:val="20"/>
          <w:rFonts w:ascii="Times New Roman" w:hAnsi="Times New Roman"/>
          <w:b w:val="0"/>
          <w:sz w:val="24"/>
          <w:szCs w:val="24"/>
        </w:rPr>
      </w:pPr>
      <w:bookmarkStart w:id="58" w:name="_Hlk49893812"/>
      <w:r>
        <w:rPr>
          <w:rStyle w:val="20"/>
          <w:rFonts w:hint="eastAsia" w:ascii="Times New Roman" w:hAnsi="Times New Roman"/>
          <w:b w:val="0"/>
          <w:sz w:val="24"/>
          <w:szCs w:val="24"/>
        </w:rPr>
        <w:t>通过验证试验，可以看出本标准</w:t>
      </w:r>
      <w:r>
        <w:rPr>
          <w:rStyle w:val="20"/>
          <w:rFonts w:hint="eastAsia" w:ascii="Times New Roman" w:hAnsi="Times New Roman"/>
          <w:b w:val="0"/>
          <w:sz w:val="24"/>
          <w:szCs w:val="24"/>
          <w:lang w:val="en-US" w:eastAsia="zh-CN"/>
        </w:rPr>
        <w:t>对于空气净化材料的气味净化性能测试具有良好的精密度</w:t>
      </w:r>
      <w:r>
        <w:rPr>
          <w:rStyle w:val="20"/>
          <w:rFonts w:hint="eastAsia" w:ascii="Times New Roman" w:hAnsi="Times New Roman"/>
          <w:b w:val="0"/>
          <w:sz w:val="24"/>
          <w:szCs w:val="24"/>
        </w:rPr>
        <w:t>，本标准的气味</w:t>
      </w:r>
      <w:r>
        <w:rPr>
          <w:rStyle w:val="20"/>
          <w:rFonts w:hint="eastAsia" w:ascii="Times New Roman" w:hAnsi="Times New Roman"/>
          <w:b w:val="0"/>
          <w:sz w:val="24"/>
          <w:szCs w:val="24"/>
          <w:lang w:val="en-US" w:eastAsia="zh-CN"/>
        </w:rPr>
        <w:t>净化</w:t>
      </w:r>
      <w:r>
        <w:rPr>
          <w:rStyle w:val="20"/>
          <w:rFonts w:hint="eastAsia" w:ascii="Times New Roman" w:hAnsi="Times New Roman"/>
          <w:b w:val="0"/>
          <w:sz w:val="24"/>
          <w:szCs w:val="24"/>
        </w:rPr>
        <w:t>性能分级可以较好的区分</w:t>
      </w:r>
      <w:r>
        <w:rPr>
          <w:rStyle w:val="20"/>
          <w:rFonts w:hint="eastAsia" w:ascii="Times New Roman" w:hAnsi="Times New Roman"/>
          <w:b w:val="0"/>
          <w:sz w:val="24"/>
          <w:szCs w:val="24"/>
          <w:lang w:val="en-US" w:eastAsia="zh-CN"/>
        </w:rPr>
        <w:t>相关</w:t>
      </w:r>
      <w:r>
        <w:rPr>
          <w:rStyle w:val="20"/>
          <w:rFonts w:hint="eastAsia" w:ascii="Times New Roman" w:hAnsi="Times New Roman"/>
          <w:b w:val="0"/>
          <w:sz w:val="24"/>
          <w:szCs w:val="24"/>
        </w:rPr>
        <w:t>的气味性能。</w:t>
      </w:r>
      <w:bookmarkEnd w:id="58"/>
    </w:p>
    <w:sectPr>
      <w:pgSz w:w="16838" w:h="11906" w:orient="landscape"/>
      <w:pgMar w:top="1400" w:right="1440" w:bottom="1400" w:left="1440" w:header="851" w:footer="992" w:gutter="0"/>
      <w:cols w:space="0" w:num="1"/>
      <w:docGrid w:type="linesAndChars" w:linePitch="312" w:charSpace="304"/>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1321951"/>
      <w:docPartObj>
        <w:docPartGallery w:val="autotext"/>
      </w:docPartObj>
    </w:sdtPr>
    <w:sdtContent>
      <w:p w14:paraId="5E053E9D">
        <w:pPr>
          <w:pStyle w:val="11"/>
          <w:spacing w:before="120" w:after="120"/>
          <w:jc w:val="right"/>
        </w:pPr>
        <w:r>
          <w:fldChar w:fldCharType="begin"/>
        </w:r>
        <w:r>
          <w:instrText xml:space="preserve">PAGE   \* MERGEFORMAT</w:instrText>
        </w:r>
        <w:r>
          <w:fldChar w:fldCharType="separate"/>
        </w:r>
        <w:r>
          <w:rPr>
            <w:lang w:val="zh-CN"/>
          </w:rPr>
          <w:t>8</w:t>
        </w:r>
        <w:r>
          <w:fldChar w:fldCharType="end"/>
        </w:r>
      </w:p>
    </w:sdtContent>
  </w:sdt>
  <w:p w14:paraId="0A3FFAA9">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ECAA7C"/>
    <w:multiLevelType w:val="singleLevel"/>
    <w:tmpl w:val="A1ECAA7C"/>
    <w:lvl w:ilvl="0" w:tentative="0">
      <w:start w:val="5"/>
      <w:numFmt w:val="decimal"/>
      <w:suff w:val="nothing"/>
      <w:lvlText w:val="（%1）"/>
      <w:lvlJc w:val="left"/>
    </w:lvl>
  </w:abstractNum>
  <w:abstractNum w:abstractNumId="1">
    <w:nsid w:val="CA400715"/>
    <w:multiLevelType w:val="singleLevel"/>
    <w:tmpl w:val="CA400715"/>
    <w:lvl w:ilvl="0" w:tentative="0">
      <w:start w:val="1"/>
      <w:numFmt w:val="decimal"/>
      <w:lvlText w:val="%1)"/>
      <w:lvlJc w:val="left"/>
      <w:pPr>
        <w:ind w:left="425" w:hanging="425"/>
      </w:pPr>
      <w:rPr>
        <w:rFonts w:hint="default"/>
      </w:rPr>
    </w:lvl>
  </w:abstractNum>
  <w:abstractNum w:abstractNumId="2">
    <w:nsid w:val="1FC91163"/>
    <w:multiLevelType w:val="multilevel"/>
    <w:tmpl w:val="1FC91163"/>
    <w:lvl w:ilvl="0" w:tentative="0">
      <w:start w:val="1"/>
      <w:numFmt w:val="decimal"/>
      <w:pStyle w:val="3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5"/>
      <w:suff w:val="nothing"/>
      <w:lvlText w:val="%1.%2　"/>
      <w:lvlJc w:val="left"/>
      <w:pPr>
        <w:ind w:left="426"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37"/>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38"/>
      <w:suff w:val="nothing"/>
      <w:lvlText w:val="%1.%2.%3.%4.%5　"/>
      <w:lvlJc w:val="left"/>
      <w:pPr>
        <w:ind w:left="0" w:firstLine="0"/>
      </w:pPr>
      <w:rPr>
        <w:rFonts w:hint="eastAsia" w:ascii="黑体" w:hAnsi="Times New Roman" w:eastAsia="黑体"/>
        <w:b w:val="0"/>
        <w:i w:val="0"/>
        <w:sz w:val="21"/>
      </w:rPr>
    </w:lvl>
    <w:lvl w:ilvl="5" w:tentative="0">
      <w:start w:val="1"/>
      <w:numFmt w:val="decimal"/>
      <w:pStyle w:val="3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14A2EFB"/>
    <w:multiLevelType w:val="multilevel"/>
    <w:tmpl w:val="614A2EFB"/>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drawingGridHorizontalSpacing w:val="106"/>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733"/>
    <w:rsid w:val="00000960"/>
    <w:rsid w:val="000014F2"/>
    <w:rsid w:val="00006C71"/>
    <w:rsid w:val="00007082"/>
    <w:rsid w:val="0001157A"/>
    <w:rsid w:val="00012583"/>
    <w:rsid w:val="0001436E"/>
    <w:rsid w:val="000144F0"/>
    <w:rsid w:val="000146C2"/>
    <w:rsid w:val="0001582A"/>
    <w:rsid w:val="00017100"/>
    <w:rsid w:val="000245EE"/>
    <w:rsid w:val="00026425"/>
    <w:rsid w:val="00032494"/>
    <w:rsid w:val="00034C44"/>
    <w:rsid w:val="000406FF"/>
    <w:rsid w:val="00044BF0"/>
    <w:rsid w:val="000458A7"/>
    <w:rsid w:val="00047C0F"/>
    <w:rsid w:val="00050B50"/>
    <w:rsid w:val="00052428"/>
    <w:rsid w:val="00052EF6"/>
    <w:rsid w:val="00053B2E"/>
    <w:rsid w:val="000548CA"/>
    <w:rsid w:val="000555C5"/>
    <w:rsid w:val="000560A9"/>
    <w:rsid w:val="00056A10"/>
    <w:rsid w:val="00057844"/>
    <w:rsid w:val="00060F42"/>
    <w:rsid w:val="000634F8"/>
    <w:rsid w:val="000643FD"/>
    <w:rsid w:val="0006550C"/>
    <w:rsid w:val="00066245"/>
    <w:rsid w:val="00067515"/>
    <w:rsid w:val="0007224C"/>
    <w:rsid w:val="0007315D"/>
    <w:rsid w:val="00074813"/>
    <w:rsid w:val="00076A3A"/>
    <w:rsid w:val="00080E0F"/>
    <w:rsid w:val="00080F8A"/>
    <w:rsid w:val="00082522"/>
    <w:rsid w:val="000847FA"/>
    <w:rsid w:val="000849D6"/>
    <w:rsid w:val="000878DB"/>
    <w:rsid w:val="000920EC"/>
    <w:rsid w:val="00093AB9"/>
    <w:rsid w:val="0009741D"/>
    <w:rsid w:val="000A55FF"/>
    <w:rsid w:val="000B1527"/>
    <w:rsid w:val="000B3087"/>
    <w:rsid w:val="000B5769"/>
    <w:rsid w:val="000B7553"/>
    <w:rsid w:val="000B7889"/>
    <w:rsid w:val="000C0A21"/>
    <w:rsid w:val="000C43A6"/>
    <w:rsid w:val="000C701A"/>
    <w:rsid w:val="000C701E"/>
    <w:rsid w:val="000D3D87"/>
    <w:rsid w:val="000D57A3"/>
    <w:rsid w:val="000D5C79"/>
    <w:rsid w:val="000D7503"/>
    <w:rsid w:val="000D7B21"/>
    <w:rsid w:val="000E39EA"/>
    <w:rsid w:val="000F548D"/>
    <w:rsid w:val="000F6B12"/>
    <w:rsid w:val="000F7E3C"/>
    <w:rsid w:val="000F7FD3"/>
    <w:rsid w:val="00100445"/>
    <w:rsid w:val="00101698"/>
    <w:rsid w:val="001059AF"/>
    <w:rsid w:val="00105B08"/>
    <w:rsid w:val="001061BA"/>
    <w:rsid w:val="001069E6"/>
    <w:rsid w:val="00106DF6"/>
    <w:rsid w:val="00110278"/>
    <w:rsid w:val="001103EB"/>
    <w:rsid w:val="00111109"/>
    <w:rsid w:val="00113A2B"/>
    <w:rsid w:val="00115138"/>
    <w:rsid w:val="001169F6"/>
    <w:rsid w:val="00116E27"/>
    <w:rsid w:val="001210E7"/>
    <w:rsid w:val="001233C7"/>
    <w:rsid w:val="0012363B"/>
    <w:rsid w:val="00126A5B"/>
    <w:rsid w:val="00131B27"/>
    <w:rsid w:val="00133908"/>
    <w:rsid w:val="001344DA"/>
    <w:rsid w:val="00137B46"/>
    <w:rsid w:val="001464F8"/>
    <w:rsid w:val="00151D63"/>
    <w:rsid w:val="00151F9F"/>
    <w:rsid w:val="001569BE"/>
    <w:rsid w:val="00156F01"/>
    <w:rsid w:val="00157F6E"/>
    <w:rsid w:val="001611BD"/>
    <w:rsid w:val="00162BF1"/>
    <w:rsid w:val="00166FA6"/>
    <w:rsid w:val="00171140"/>
    <w:rsid w:val="00171AD1"/>
    <w:rsid w:val="00172A6F"/>
    <w:rsid w:val="001737FF"/>
    <w:rsid w:val="00177F04"/>
    <w:rsid w:val="00182D80"/>
    <w:rsid w:val="0018308D"/>
    <w:rsid w:val="001850B3"/>
    <w:rsid w:val="001862CB"/>
    <w:rsid w:val="001878CF"/>
    <w:rsid w:val="0019036C"/>
    <w:rsid w:val="00191C6B"/>
    <w:rsid w:val="0019288D"/>
    <w:rsid w:val="00195B8B"/>
    <w:rsid w:val="001969B8"/>
    <w:rsid w:val="001A1383"/>
    <w:rsid w:val="001A301F"/>
    <w:rsid w:val="001A3C17"/>
    <w:rsid w:val="001A3CEB"/>
    <w:rsid w:val="001A434C"/>
    <w:rsid w:val="001A5169"/>
    <w:rsid w:val="001A7919"/>
    <w:rsid w:val="001B101B"/>
    <w:rsid w:val="001B16D4"/>
    <w:rsid w:val="001B2B18"/>
    <w:rsid w:val="001B31B4"/>
    <w:rsid w:val="001B4FBE"/>
    <w:rsid w:val="001B5F5F"/>
    <w:rsid w:val="001C0D87"/>
    <w:rsid w:val="001C4DC2"/>
    <w:rsid w:val="001C4E7A"/>
    <w:rsid w:val="001C5972"/>
    <w:rsid w:val="001C5E0E"/>
    <w:rsid w:val="001D0105"/>
    <w:rsid w:val="001D0923"/>
    <w:rsid w:val="001D5A03"/>
    <w:rsid w:val="001D7355"/>
    <w:rsid w:val="001E0546"/>
    <w:rsid w:val="001E4C63"/>
    <w:rsid w:val="001E6583"/>
    <w:rsid w:val="001E7B1F"/>
    <w:rsid w:val="001E7E12"/>
    <w:rsid w:val="001F06CA"/>
    <w:rsid w:val="001F1047"/>
    <w:rsid w:val="001F1A33"/>
    <w:rsid w:val="001F20AE"/>
    <w:rsid w:val="001F2515"/>
    <w:rsid w:val="001F2B90"/>
    <w:rsid w:val="001F48BB"/>
    <w:rsid w:val="001F4B72"/>
    <w:rsid w:val="001F5214"/>
    <w:rsid w:val="001F634B"/>
    <w:rsid w:val="001F65B1"/>
    <w:rsid w:val="001F69FC"/>
    <w:rsid w:val="0020262F"/>
    <w:rsid w:val="002039AD"/>
    <w:rsid w:val="002127D8"/>
    <w:rsid w:val="0021395D"/>
    <w:rsid w:val="002139C0"/>
    <w:rsid w:val="00213DD9"/>
    <w:rsid w:val="00221EAD"/>
    <w:rsid w:val="002223B6"/>
    <w:rsid w:val="0022379B"/>
    <w:rsid w:val="00226203"/>
    <w:rsid w:val="002268B8"/>
    <w:rsid w:val="00230332"/>
    <w:rsid w:val="00232283"/>
    <w:rsid w:val="00232BF2"/>
    <w:rsid w:val="00233520"/>
    <w:rsid w:val="00233E33"/>
    <w:rsid w:val="0023483B"/>
    <w:rsid w:val="00235A6A"/>
    <w:rsid w:val="002366E3"/>
    <w:rsid w:val="00242823"/>
    <w:rsid w:val="00243046"/>
    <w:rsid w:val="00244089"/>
    <w:rsid w:val="0024640F"/>
    <w:rsid w:val="00246A6D"/>
    <w:rsid w:val="00251859"/>
    <w:rsid w:val="00251C20"/>
    <w:rsid w:val="0025392E"/>
    <w:rsid w:val="00253B1D"/>
    <w:rsid w:val="002569BB"/>
    <w:rsid w:val="00256B7C"/>
    <w:rsid w:val="00266190"/>
    <w:rsid w:val="00267AB5"/>
    <w:rsid w:val="0027079C"/>
    <w:rsid w:val="002735E4"/>
    <w:rsid w:val="00273612"/>
    <w:rsid w:val="0028296D"/>
    <w:rsid w:val="00284CD1"/>
    <w:rsid w:val="00284DC6"/>
    <w:rsid w:val="0028511B"/>
    <w:rsid w:val="00285606"/>
    <w:rsid w:val="0028762A"/>
    <w:rsid w:val="002902B9"/>
    <w:rsid w:val="002903CD"/>
    <w:rsid w:val="00292967"/>
    <w:rsid w:val="00294D50"/>
    <w:rsid w:val="002968BB"/>
    <w:rsid w:val="002A2EF5"/>
    <w:rsid w:val="002A650A"/>
    <w:rsid w:val="002A785A"/>
    <w:rsid w:val="002B0C3A"/>
    <w:rsid w:val="002B22D1"/>
    <w:rsid w:val="002B62DC"/>
    <w:rsid w:val="002C1744"/>
    <w:rsid w:val="002D29C9"/>
    <w:rsid w:val="002D410C"/>
    <w:rsid w:val="002D45E3"/>
    <w:rsid w:val="002E0411"/>
    <w:rsid w:val="002E06C4"/>
    <w:rsid w:val="002E1BF3"/>
    <w:rsid w:val="002E4E7A"/>
    <w:rsid w:val="002E6344"/>
    <w:rsid w:val="002E6F98"/>
    <w:rsid w:val="002F26B3"/>
    <w:rsid w:val="002F45D5"/>
    <w:rsid w:val="002F45F6"/>
    <w:rsid w:val="002F7928"/>
    <w:rsid w:val="00300E6D"/>
    <w:rsid w:val="003040E1"/>
    <w:rsid w:val="003051EA"/>
    <w:rsid w:val="0030522F"/>
    <w:rsid w:val="00310280"/>
    <w:rsid w:val="003109DA"/>
    <w:rsid w:val="0031112A"/>
    <w:rsid w:val="00315B03"/>
    <w:rsid w:val="0032155C"/>
    <w:rsid w:val="00323127"/>
    <w:rsid w:val="00324B6D"/>
    <w:rsid w:val="00326BE2"/>
    <w:rsid w:val="00330261"/>
    <w:rsid w:val="003307FD"/>
    <w:rsid w:val="003363AA"/>
    <w:rsid w:val="00337B11"/>
    <w:rsid w:val="0034079C"/>
    <w:rsid w:val="00341610"/>
    <w:rsid w:val="00346ED5"/>
    <w:rsid w:val="00350E70"/>
    <w:rsid w:val="00351A1F"/>
    <w:rsid w:val="0035328B"/>
    <w:rsid w:val="003535A0"/>
    <w:rsid w:val="00356B14"/>
    <w:rsid w:val="00361FDF"/>
    <w:rsid w:val="003623D8"/>
    <w:rsid w:val="003625B0"/>
    <w:rsid w:val="00365794"/>
    <w:rsid w:val="00366945"/>
    <w:rsid w:val="003734DC"/>
    <w:rsid w:val="003753CB"/>
    <w:rsid w:val="00376550"/>
    <w:rsid w:val="00380DCE"/>
    <w:rsid w:val="0038519C"/>
    <w:rsid w:val="00386343"/>
    <w:rsid w:val="003906BC"/>
    <w:rsid w:val="0039119F"/>
    <w:rsid w:val="00392D3E"/>
    <w:rsid w:val="00393C49"/>
    <w:rsid w:val="00395287"/>
    <w:rsid w:val="00396D74"/>
    <w:rsid w:val="00397C29"/>
    <w:rsid w:val="003A19E2"/>
    <w:rsid w:val="003A3556"/>
    <w:rsid w:val="003A408E"/>
    <w:rsid w:val="003A46FE"/>
    <w:rsid w:val="003A7795"/>
    <w:rsid w:val="003C1871"/>
    <w:rsid w:val="003C2749"/>
    <w:rsid w:val="003C368A"/>
    <w:rsid w:val="003D020C"/>
    <w:rsid w:val="003D1FA6"/>
    <w:rsid w:val="003D3431"/>
    <w:rsid w:val="003D57FB"/>
    <w:rsid w:val="003D73F5"/>
    <w:rsid w:val="003E1E3A"/>
    <w:rsid w:val="003E45AC"/>
    <w:rsid w:val="003F0C51"/>
    <w:rsid w:val="003F3331"/>
    <w:rsid w:val="003F5146"/>
    <w:rsid w:val="004000EE"/>
    <w:rsid w:val="004012D1"/>
    <w:rsid w:val="004012F7"/>
    <w:rsid w:val="00402858"/>
    <w:rsid w:val="00403769"/>
    <w:rsid w:val="00405E5B"/>
    <w:rsid w:val="00406616"/>
    <w:rsid w:val="004100B6"/>
    <w:rsid w:val="0041381F"/>
    <w:rsid w:val="00413BB2"/>
    <w:rsid w:val="0042181C"/>
    <w:rsid w:val="00423D55"/>
    <w:rsid w:val="00424D90"/>
    <w:rsid w:val="00425D90"/>
    <w:rsid w:val="00430C1A"/>
    <w:rsid w:val="00431751"/>
    <w:rsid w:val="0043196D"/>
    <w:rsid w:val="0044479F"/>
    <w:rsid w:val="0044565D"/>
    <w:rsid w:val="00447F2F"/>
    <w:rsid w:val="0045213B"/>
    <w:rsid w:val="004521B3"/>
    <w:rsid w:val="00454368"/>
    <w:rsid w:val="00456C68"/>
    <w:rsid w:val="0045702E"/>
    <w:rsid w:val="004577AB"/>
    <w:rsid w:val="00457C6F"/>
    <w:rsid w:val="00460186"/>
    <w:rsid w:val="004617A4"/>
    <w:rsid w:val="004630C7"/>
    <w:rsid w:val="00463D03"/>
    <w:rsid w:val="00464AD9"/>
    <w:rsid w:val="004660DE"/>
    <w:rsid w:val="00472306"/>
    <w:rsid w:val="0048082E"/>
    <w:rsid w:val="0048394C"/>
    <w:rsid w:val="00484D1B"/>
    <w:rsid w:val="00487FCD"/>
    <w:rsid w:val="0049061F"/>
    <w:rsid w:val="0049312C"/>
    <w:rsid w:val="004943C4"/>
    <w:rsid w:val="00495B25"/>
    <w:rsid w:val="004A0003"/>
    <w:rsid w:val="004A031E"/>
    <w:rsid w:val="004A08CA"/>
    <w:rsid w:val="004A1A76"/>
    <w:rsid w:val="004A4AC9"/>
    <w:rsid w:val="004A6322"/>
    <w:rsid w:val="004A6EF8"/>
    <w:rsid w:val="004A7782"/>
    <w:rsid w:val="004A77B7"/>
    <w:rsid w:val="004B6534"/>
    <w:rsid w:val="004C197C"/>
    <w:rsid w:val="004C210E"/>
    <w:rsid w:val="004C54C1"/>
    <w:rsid w:val="004C6715"/>
    <w:rsid w:val="004D2895"/>
    <w:rsid w:val="004D28F4"/>
    <w:rsid w:val="004D4F6E"/>
    <w:rsid w:val="004D5440"/>
    <w:rsid w:val="004D583E"/>
    <w:rsid w:val="004D5FED"/>
    <w:rsid w:val="004D6AB2"/>
    <w:rsid w:val="004D6BCB"/>
    <w:rsid w:val="004D73E3"/>
    <w:rsid w:val="004E0139"/>
    <w:rsid w:val="004E22FE"/>
    <w:rsid w:val="004F2DA6"/>
    <w:rsid w:val="004F462E"/>
    <w:rsid w:val="004F74A4"/>
    <w:rsid w:val="0050388D"/>
    <w:rsid w:val="00521300"/>
    <w:rsid w:val="005231F3"/>
    <w:rsid w:val="00523A58"/>
    <w:rsid w:val="00524B74"/>
    <w:rsid w:val="00525323"/>
    <w:rsid w:val="00526615"/>
    <w:rsid w:val="0053018E"/>
    <w:rsid w:val="00530552"/>
    <w:rsid w:val="00533CB0"/>
    <w:rsid w:val="005349A2"/>
    <w:rsid w:val="00535353"/>
    <w:rsid w:val="005415FD"/>
    <w:rsid w:val="00541AF0"/>
    <w:rsid w:val="005453BD"/>
    <w:rsid w:val="00546FA2"/>
    <w:rsid w:val="00551072"/>
    <w:rsid w:val="0055413E"/>
    <w:rsid w:val="005548E7"/>
    <w:rsid w:val="00554A8C"/>
    <w:rsid w:val="00557FEE"/>
    <w:rsid w:val="00560237"/>
    <w:rsid w:val="0056230C"/>
    <w:rsid w:val="00562848"/>
    <w:rsid w:val="005648F1"/>
    <w:rsid w:val="00565241"/>
    <w:rsid w:val="00575F6B"/>
    <w:rsid w:val="00577D4B"/>
    <w:rsid w:val="00577EAA"/>
    <w:rsid w:val="00582CDF"/>
    <w:rsid w:val="0058307E"/>
    <w:rsid w:val="00583DEC"/>
    <w:rsid w:val="005868E0"/>
    <w:rsid w:val="0059000A"/>
    <w:rsid w:val="005909CD"/>
    <w:rsid w:val="00590F43"/>
    <w:rsid w:val="005913D0"/>
    <w:rsid w:val="00593D14"/>
    <w:rsid w:val="00594F15"/>
    <w:rsid w:val="005970EA"/>
    <w:rsid w:val="005A049F"/>
    <w:rsid w:val="005A1112"/>
    <w:rsid w:val="005A1C9A"/>
    <w:rsid w:val="005D14EB"/>
    <w:rsid w:val="005D36BC"/>
    <w:rsid w:val="005D3D63"/>
    <w:rsid w:val="005D629A"/>
    <w:rsid w:val="005E3960"/>
    <w:rsid w:val="005E5AB1"/>
    <w:rsid w:val="005F3100"/>
    <w:rsid w:val="005F3DE2"/>
    <w:rsid w:val="005F53F7"/>
    <w:rsid w:val="005F7BD5"/>
    <w:rsid w:val="00600E46"/>
    <w:rsid w:val="0060406C"/>
    <w:rsid w:val="0060728D"/>
    <w:rsid w:val="006110E1"/>
    <w:rsid w:val="00613BB5"/>
    <w:rsid w:val="00615C95"/>
    <w:rsid w:val="006209EA"/>
    <w:rsid w:val="00622C9C"/>
    <w:rsid w:val="006264A2"/>
    <w:rsid w:val="0062664D"/>
    <w:rsid w:val="0063057B"/>
    <w:rsid w:val="00633114"/>
    <w:rsid w:val="00634BE8"/>
    <w:rsid w:val="0064258A"/>
    <w:rsid w:val="00643660"/>
    <w:rsid w:val="00643D1E"/>
    <w:rsid w:val="00653BBE"/>
    <w:rsid w:val="006543AD"/>
    <w:rsid w:val="0065493E"/>
    <w:rsid w:val="0065519A"/>
    <w:rsid w:val="00655B0C"/>
    <w:rsid w:val="006562D6"/>
    <w:rsid w:val="00662BB1"/>
    <w:rsid w:val="00663378"/>
    <w:rsid w:val="00664C33"/>
    <w:rsid w:val="006656CB"/>
    <w:rsid w:val="006658CD"/>
    <w:rsid w:val="0066746A"/>
    <w:rsid w:val="00671FB0"/>
    <w:rsid w:val="00671FC6"/>
    <w:rsid w:val="00674EF2"/>
    <w:rsid w:val="00675B58"/>
    <w:rsid w:val="00677242"/>
    <w:rsid w:val="006808C2"/>
    <w:rsid w:val="00683DEA"/>
    <w:rsid w:val="00683E95"/>
    <w:rsid w:val="006867D8"/>
    <w:rsid w:val="00687881"/>
    <w:rsid w:val="006903BD"/>
    <w:rsid w:val="006903C7"/>
    <w:rsid w:val="006924A4"/>
    <w:rsid w:val="0069569E"/>
    <w:rsid w:val="0069589D"/>
    <w:rsid w:val="00695FD3"/>
    <w:rsid w:val="006966DF"/>
    <w:rsid w:val="006A02FE"/>
    <w:rsid w:val="006A15A0"/>
    <w:rsid w:val="006A2AD7"/>
    <w:rsid w:val="006A306F"/>
    <w:rsid w:val="006A652F"/>
    <w:rsid w:val="006A76F4"/>
    <w:rsid w:val="006B1A0F"/>
    <w:rsid w:val="006B77A5"/>
    <w:rsid w:val="006C3916"/>
    <w:rsid w:val="006C5497"/>
    <w:rsid w:val="006C5D3E"/>
    <w:rsid w:val="006C6D81"/>
    <w:rsid w:val="006D0B3A"/>
    <w:rsid w:val="006D1216"/>
    <w:rsid w:val="006D1277"/>
    <w:rsid w:val="006D17A2"/>
    <w:rsid w:val="006D48A7"/>
    <w:rsid w:val="006D5B36"/>
    <w:rsid w:val="006E0FCA"/>
    <w:rsid w:val="006E1BB9"/>
    <w:rsid w:val="006E4693"/>
    <w:rsid w:val="006E4C16"/>
    <w:rsid w:val="006E55A3"/>
    <w:rsid w:val="006F02AF"/>
    <w:rsid w:val="006F0E2C"/>
    <w:rsid w:val="006F12E1"/>
    <w:rsid w:val="006F1695"/>
    <w:rsid w:val="006F1704"/>
    <w:rsid w:val="006F4A5B"/>
    <w:rsid w:val="006F4C39"/>
    <w:rsid w:val="006F5919"/>
    <w:rsid w:val="006F7807"/>
    <w:rsid w:val="007035D5"/>
    <w:rsid w:val="007050F9"/>
    <w:rsid w:val="00716104"/>
    <w:rsid w:val="00716488"/>
    <w:rsid w:val="00720DA0"/>
    <w:rsid w:val="00723C7B"/>
    <w:rsid w:val="00725431"/>
    <w:rsid w:val="0072652C"/>
    <w:rsid w:val="00726CA2"/>
    <w:rsid w:val="00734A84"/>
    <w:rsid w:val="00742FF5"/>
    <w:rsid w:val="00743070"/>
    <w:rsid w:val="00745168"/>
    <w:rsid w:val="0074546D"/>
    <w:rsid w:val="0074614C"/>
    <w:rsid w:val="007526C6"/>
    <w:rsid w:val="0075392D"/>
    <w:rsid w:val="0075436A"/>
    <w:rsid w:val="00757AB5"/>
    <w:rsid w:val="00760DE8"/>
    <w:rsid w:val="00763CA1"/>
    <w:rsid w:val="00763FC9"/>
    <w:rsid w:val="00786539"/>
    <w:rsid w:val="00787654"/>
    <w:rsid w:val="00797C7A"/>
    <w:rsid w:val="007A1B9F"/>
    <w:rsid w:val="007A3C69"/>
    <w:rsid w:val="007A4779"/>
    <w:rsid w:val="007A5A76"/>
    <w:rsid w:val="007B6506"/>
    <w:rsid w:val="007B65FE"/>
    <w:rsid w:val="007B6FFC"/>
    <w:rsid w:val="007B749D"/>
    <w:rsid w:val="007B7C2C"/>
    <w:rsid w:val="007C2F2C"/>
    <w:rsid w:val="007C3BCB"/>
    <w:rsid w:val="007C3FE1"/>
    <w:rsid w:val="007C49D3"/>
    <w:rsid w:val="007C5397"/>
    <w:rsid w:val="007D157A"/>
    <w:rsid w:val="007D1890"/>
    <w:rsid w:val="007D22B3"/>
    <w:rsid w:val="007D5FF7"/>
    <w:rsid w:val="007D69D5"/>
    <w:rsid w:val="007E0ED1"/>
    <w:rsid w:val="007E2C9F"/>
    <w:rsid w:val="007E3821"/>
    <w:rsid w:val="007E59A6"/>
    <w:rsid w:val="007F0CB1"/>
    <w:rsid w:val="007F0E48"/>
    <w:rsid w:val="007F1376"/>
    <w:rsid w:val="007F19A8"/>
    <w:rsid w:val="007F48E1"/>
    <w:rsid w:val="00802BCF"/>
    <w:rsid w:val="00804B77"/>
    <w:rsid w:val="008064A4"/>
    <w:rsid w:val="0080687D"/>
    <w:rsid w:val="00812175"/>
    <w:rsid w:val="00812845"/>
    <w:rsid w:val="00814056"/>
    <w:rsid w:val="00815102"/>
    <w:rsid w:val="00820032"/>
    <w:rsid w:val="00820899"/>
    <w:rsid w:val="00821AB9"/>
    <w:rsid w:val="00822E3E"/>
    <w:rsid w:val="008269AA"/>
    <w:rsid w:val="0082729F"/>
    <w:rsid w:val="008309BA"/>
    <w:rsid w:val="00830F3A"/>
    <w:rsid w:val="00833DB2"/>
    <w:rsid w:val="00836567"/>
    <w:rsid w:val="00837BCC"/>
    <w:rsid w:val="00840A94"/>
    <w:rsid w:val="0084333A"/>
    <w:rsid w:val="008468DF"/>
    <w:rsid w:val="00850D84"/>
    <w:rsid w:val="008563FB"/>
    <w:rsid w:val="008565F9"/>
    <w:rsid w:val="00861177"/>
    <w:rsid w:val="008626A1"/>
    <w:rsid w:val="00864B11"/>
    <w:rsid w:val="00864CFC"/>
    <w:rsid w:val="00867B33"/>
    <w:rsid w:val="008741EA"/>
    <w:rsid w:val="00874D69"/>
    <w:rsid w:val="00874E59"/>
    <w:rsid w:val="008757F0"/>
    <w:rsid w:val="00877EBF"/>
    <w:rsid w:val="00880602"/>
    <w:rsid w:val="0088363A"/>
    <w:rsid w:val="00884309"/>
    <w:rsid w:val="008857FE"/>
    <w:rsid w:val="00886AF9"/>
    <w:rsid w:val="008902A8"/>
    <w:rsid w:val="008923CB"/>
    <w:rsid w:val="0089273E"/>
    <w:rsid w:val="008954E3"/>
    <w:rsid w:val="008956D8"/>
    <w:rsid w:val="008965AD"/>
    <w:rsid w:val="00896F76"/>
    <w:rsid w:val="00897D56"/>
    <w:rsid w:val="008A5992"/>
    <w:rsid w:val="008A7B01"/>
    <w:rsid w:val="008B00D1"/>
    <w:rsid w:val="008B251B"/>
    <w:rsid w:val="008B4DE0"/>
    <w:rsid w:val="008B50A6"/>
    <w:rsid w:val="008B7788"/>
    <w:rsid w:val="008B7A37"/>
    <w:rsid w:val="008C280D"/>
    <w:rsid w:val="008C32F1"/>
    <w:rsid w:val="008C5999"/>
    <w:rsid w:val="008C6E93"/>
    <w:rsid w:val="008D0BF9"/>
    <w:rsid w:val="008D1683"/>
    <w:rsid w:val="008D2332"/>
    <w:rsid w:val="008D23F6"/>
    <w:rsid w:val="008D2FC8"/>
    <w:rsid w:val="008E2651"/>
    <w:rsid w:val="008F0084"/>
    <w:rsid w:val="008F0EF5"/>
    <w:rsid w:val="008F1625"/>
    <w:rsid w:val="008F3027"/>
    <w:rsid w:val="008F57B2"/>
    <w:rsid w:val="00900F5F"/>
    <w:rsid w:val="009015B6"/>
    <w:rsid w:val="00901BEA"/>
    <w:rsid w:val="00902D50"/>
    <w:rsid w:val="00907167"/>
    <w:rsid w:val="00911886"/>
    <w:rsid w:val="00911C1E"/>
    <w:rsid w:val="00912B09"/>
    <w:rsid w:val="00923913"/>
    <w:rsid w:val="0092485F"/>
    <w:rsid w:val="00924AA3"/>
    <w:rsid w:val="00924F0F"/>
    <w:rsid w:val="00933A94"/>
    <w:rsid w:val="009349DB"/>
    <w:rsid w:val="00935F78"/>
    <w:rsid w:val="00941E90"/>
    <w:rsid w:val="00942DD4"/>
    <w:rsid w:val="0094406F"/>
    <w:rsid w:val="00944E52"/>
    <w:rsid w:val="009466AA"/>
    <w:rsid w:val="00946B54"/>
    <w:rsid w:val="00947A84"/>
    <w:rsid w:val="00950FA5"/>
    <w:rsid w:val="009511D3"/>
    <w:rsid w:val="0095239E"/>
    <w:rsid w:val="00953B22"/>
    <w:rsid w:val="009547D3"/>
    <w:rsid w:val="00956191"/>
    <w:rsid w:val="00961048"/>
    <w:rsid w:val="00973837"/>
    <w:rsid w:val="00980ED7"/>
    <w:rsid w:val="00982C16"/>
    <w:rsid w:val="00985E5F"/>
    <w:rsid w:val="0098656C"/>
    <w:rsid w:val="00987550"/>
    <w:rsid w:val="00987AE9"/>
    <w:rsid w:val="00994C18"/>
    <w:rsid w:val="00995EF7"/>
    <w:rsid w:val="00995FD1"/>
    <w:rsid w:val="009A123E"/>
    <w:rsid w:val="009A5386"/>
    <w:rsid w:val="009B4995"/>
    <w:rsid w:val="009B5EAE"/>
    <w:rsid w:val="009B681B"/>
    <w:rsid w:val="009C1803"/>
    <w:rsid w:val="009C26DD"/>
    <w:rsid w:val="009D1F55"/>
    <w:rsid w:val="009D4C9F"/>
    <w:rsid w:val="009D5539"/>
    <w:rsid w:val="009D5CF9"/>
    <w:rsid w:val="009D6308"/>
    <w:rsid w:val="009D6473"/>
    <w:rsid w:val="009D67BB"/>
    <w:rsid w:val="009E3AAA"/>
    <w:rsid w:val="009E3E2C"/>
    <w:rsid w:val="009F296C"/>
    <w:rsid w:val="009F498F"/>
    <w:rsid w:val="009F758A"/>
    <w:rsid w:val="00A01A89"/>
    <w:rsid w:val="00A025F7"/>
    <w:rsid w:val="00A02C03"/>
    <w:rsid w:val="00A03E9B"/>
    <w:rsid w:val="00A03F4A"/>
    <w:rsid w:val="00A05853"/>
    <w:rsid w:val="00A13D39"/>
    <w:rsid w:val="00A2021B"/>
    <w:rsid w:val="00A21BDA"/>
    <w:rsid w:val="00A2245B"/>
    <w:rsid w:val="00A25331"/>
    <w:rsid w:val="00A309B7"/>
    <w:rsid w:val="00A31CAB"/>
    <w:rsid w:val="00A330EB"/>
    <w:rsid w:val="00A34F05"/>
    <w:rsid w:val="00A35DF2"/>
    <w:rsid w:val="00A366F0"/>
    <w:rsid w:val="00A36F13"/>
    <w:rsid w:val="00A36FA1"/>
    <w:rsid w:val="00A40105"/>
    <w:rsid w:val="00A403B1"/>
    <w:rsid w:val="00A42462"/>
    <w:rsid w:val="00A46A16"/>
    <w:rsid w:val="00A5171B"/>
    <w:rsid w:val="00A55253"/>
    <w:rsid w:val="00A661AB"/>
    <w:rsid w:val="00A664DE"/>
    <w:rsid w:val="00A66FDB"/>
    <w:rsid w:val="00A679C3"/>
    <w:rsid w:val="00A70DCE"/>
    <w:rsid w:val="00A717CE"/>
    <w:rsid w:val="00A7218C"/>
    <w:rsid w:val="00A7380C"/>
    <w:rsid w:val="00A747DE"/>
    <w:rsid w:val="00A74CB7"/>
    <w:rsid w:val="00A74F65"/>
    <w:rsid w:val="00A821C0"/>
    <w:rsid w:val="00A87F04"/>
    <w:rsid w:val="00A90C3C"/>
    <w:rsid w:val="00AA0773"/>
    <w:rsid w:val="00AA2B95"/>
    <w:rsid w:val="00AA3E0D"/>
    <w:rsid w:val="00AA436C"/>
    <w:rsid w:val="00AA5179"/>
    <w:rsid w:val="00AA7F38"/>
    <w:rsid w:val="00AB2A3C"/>
    <w:rsid w:val="00AB3A63"/>
    <w:rsid w:val="00AB483B"/>
    <w:rsid w:val="00AC1E9C"/>
    <w:rsid w:val="00AC6C27"/>
    <w:rsid w:val="00AC7048"/>
    <w:rsid w:val="00AD15BB"/>
    <w:rsid w:val="00AD16AF"/>
    <w:rsid w:val="00AD4594"/>
    <w:rsid w:val="00AD45EA"/>
    <w:rsid w:val="00AE1ADA"/>
    <w:rsid w:val="00AE4579"/>
    <w:rsid w:val="00AE4B91"/>
    <w:rsid w:val="00AE6629"/>
    <w:rsid w:val="00AE6E38"/>
    <w:rsid w:val="00AE6E61"/>
    <w:rsid w:val="00AE6F6B"/>
    <w:rsid w:val="00AE7634"/>
    <w:rsid w:val="00AE7D24"/>
    <w:rsid w:val="00AF06B1"/>
    <w:rsid w:val="00AF09A5"/>
    <w:rsid w:val="00AF0BDD"/>
    <w:rsid w:val="00AF24DE"/>
    <w:rsid w:val="00AF3FAE"/>
    <w:rsid w:val="00AF460C"/>
    <w:rsid w:val="00AF4C97"/>
    <w:rsid w:val="00AF6293"/>
    <w:rsid w:val="00B01C1E"/>
    <w:rsid w:val="00B0259F"/>
    <w:rsid w:val="00B03744"/>
    <w:rsid w:val="00B049F6"/>
    <w:rsid w:val="00B053A5"/>
    <w:rsid w:val="00B05A92"/>
    <w:rsid w:val="00B06642"/>
    <w:rsid w:val="00B11537"/>
    <w:rsid w:val="00B14CC5"/>
    <w:rsid w:val="00B17733"/>
    <w:rsid w:val="00B20F7D"/>
    <w:rsid w:val="00B21241"/>
    <w:rsid w:val="00B25F2B"/>
    <w:rsid w:val="00B269FB"/>
    <w:rsid w:val="00B27043"/>
    <w:rsid w:val="00B2794A"/>
    <w:rsid w:val="00B3353F"/>
    <w:rsid w:val="00B3404D"/>
    <w:rsid w:val="00B3415C"/>
    <w:rsid w:val="00B35FD1"/>
    <w:rsid w:val="00B40032"/>
    <w:rsid w:val="00B4106C"/>
    <w:rsid w:val="00B418F4"/>
    <w:rsid w:val="00B45CEA"/>
    <w:rsid w:val="00B464D3"/>
    <w:rsid w:val="00B520CD"/>
    <w:rsid w:val="00B52DFF"/>
    <w:rsid w:val="00B54D12"/>
    <w:rsid w:val="00B55D07"/>
    <w:rsid w:val="00B55F3E"/>
    <w:rsid w:val="00B56B2B"/>
    <w:rsid w:val="00B6611D"/>
    <w:rsid w:val="00B66F4D"/>
    <w:rsid w:val="00B74660"/>
    <w:rsid w:val="00B7534F"/>
    <w:rsid w:val="00B80E58"/>
    <w:rsid w:val="00B80F67"/>
    <w:rsid w:val="00B82041"/>
    <w:rsid w:val="00B83954"/>
    <w:rsid w:val="00B85803"/>
    <w:rsid w:val="00B9632E"/>
    <w:rsid w:val="00B97513"/>
    <w:rsid w:val="00BA09E4"/>
    <w:rsid w:val="00BA0B4C"/>
    <w:rsid w:val="00BA11DB"/>
    <w:rsid w:val="00BA182E"/>
    <w:rsid w:val="00BA1F7C"/>
    <w:rsid w:val="00BA231F"/>
    <w:rsid w:val="00BA2779"/>
    <w:rsid w:val="00BA3338"/>
    <w:rsid w:val="00BA62BE"/>
    <w:rsid w:val="00BA6F82"/>
    <w:rsid w:val="00BB0D17"/>
    <w:rsid w:val="00BB3850"/>
    <w:rsid w:val="00BB45DD"/>
    <w:rsid w:val="00BB506E"/>
    <w:rsid w:val="00BB58DB"/>
    <w:rsid w:val="00BB67CC"/>
    <w:rsid w:val="00BC0432"/>
    <w:rsid w:val="00BC1168"/>
    <w:rsid w:val="00BC167B"/>
    <w:rsid w:val="00BD219E"/>
    <w:rsid w:val="00BD257E"/>
    <w:rsid w:val="00BD3E8E"/>
    <w:rsid w:val="00BD405B"/>
    <w:rsid w:val="00BD4791"/>
    <w:rsid w:val="00BE2FCC"/>
    <w:rsid w:val="00BE322C"/>
    <w:rsid w:val="00BE5DDF"/>
    <w:rsid w:val="00BE6D67"/>
    <w:rsid w:val="00BF1033"/>
    <w:rsid w:val="00BF339C"/>
    <w:rsid w:val="00BF6E93"/>
    <w:rsid w:val="00BF7F1A"/>
    <w:rsid w:val="00C01A2B"/>
    <w:rsid w:val="00C0443E"/>
    <w:rsid w:val="00C11D62"/>
    <w:rsid w:val="00C12CA5"/>
    <w:rsid w:val="00C14539"/>
    <w:rsid w:val="00C17483"/>
    <w:rsid w:val="00C20A9F"/>
    <w:rsid w:val="00C20C0C"/>
    <w:rsid w:val="00C21D7B"/>
    <w:rsid w:val="00C23CAD"/>
    <w:rsid w:val="00C24DE3"/>
    <w:rsid w:val="00C25C0F"/>
    <w:rsid w:val="00C26698"/>
    <w:rsid w:val="00C30151"/>
    <w:rsid w:val="00C31643"/>
    <w:rsid w:val="00C32C97"/>
    <w:rsid w:val="00C441A0"/>
    <w:rsid w:val="00C45053"/>
    <w:rsid w:val="00C51334"/>
    <w:rsid w:val="00C5142E"/>
    <w:rsid w:val="00C52081"/>
    <w:rsid w:val="00C558F9"/>
    <w:rsid w:val="00C63488"/>
    <w:rsid w:val="00C64487"/>
    <w:rsid w:val="00C646FF"/>
    <w:rsid w:val="00C64850"/>
    <w:rsid w:val="00C65169"/>
    <w:rsid w:val="00C65D38"/>
    <w:rsid w:val="00C67900"/>
    <w:rsid w:val="00C7479E"/>
    <w:rsid w:val="00C74F5B"/>
    <w:rsid w:val="00C762FB"/>
    <w:rsid w:val="00C76EDA"/>
    <w:rsid w:val="00C77607"/>
    <w:rsid w:val="00C870EA"/>
    <w:rsid w:val="00C9075B"/>
    <w:rsid w:val="00C90FA4"/>
    <w:rsid w:val="00C94B74"/>
    <w:rsid w:val="00CA47D4"/>
    <w:rsid w:val="00CA4E7E"/>
    <w:rsid w:val="00CA541D"/>
    <w:rsid w:val="00CA6BBF"/>
    <w:rsid w:val="00CA7269"/>
    <w:rsid w:val="00CB5A48"/>
    <w:rsid w:val="00CB7D27"/>
    <w:rsid w:val="00CC2FC6"/>
    <w:rsid w:val="00CC513D"/>
    <w:rsid w:val="00CC57ED"/>
    <w:rsid w:val="00CC5854"/>
    <w:rsid w:val="00CC7189"/>
    <w:rsid w:val="00CC7F8D"/>
    <w:rsid w:val="00CD1B9E"/>
    <w:rsid w:val="00CD2742"/>
    <w:rsid w:val="00CD3F6A"/>
    <w:rsid w:val="00CD6087"/>
    <w:rsid w:val="00CD66AB"/>
    <w:rsid w:val="00CD7B6D"/>
    <w:rsid w:val="00CE17A9"/>
    <w:rsid w:val="00CE2B81"/>
    <w:rsid w:val="00CE38B7"/>
    <w:rsid w:val="00CE5604"/>
    <w:rsid w:val="00CE5758"/>
    <w:rsid w:val="00CF3971"/>
    <w:rsid w:val="00CF4D1C"/>
    <w:rsid w:val="00CF5F57"/>
    <w:rsid w:val="00CF6264"/>
    <w:rsid w:val="00CF7834"/>
    <w:rsid w:val="00CF7869"/>
    <w:rsid w:val="00D02BE5"/>
    <w:rsid w:val="00D042D5"/>
    <w:rsid w:val="00D046DB"/>
    <w:rsid w:val="00D04A8E"/>
    <w:rsid w:val="00D05787"/>
    <w:rsid w:val="00D061BD"/>
    <w:rsid w:val="00D12FCA"/>
    <w:rsid w:val="00D13E42"/>
    <w:rsid w:val="00D16A54"/>
    <w:rsid w:val="00D174DB"/>
    <w:rsid w:val="00D211C7"/>
    <w:rsid w:val="00D21E39"/>
    <w:rsid w:val="00D23F37"/>
    <w:rsid w:val="00D26749"/>
    <w:rsid w:val="00D27836"/>
    <w:rsid w:val="00D316D8"/>
    <w:rsid w:val="00D31A60"/>
    <w:rsid w:val="00D34204"/>
    <w:rsid w:val="00D4291E"/>
    <w:rsid w:val="00D42956"/>
    <w:rsid w:val="00D44BF8"/>
    <w:rsid w:val="00D458EA"/>
    <w:rsid w:val="00D45A6B"/>
    <w:rsid w:val="00D473CB"/>
    <w:rsid w:val="00D47D78"/>
    <w:rsid w:val="00D50FDF"/>
    <w:rsid w:val="00D528DC"/>
    <w:rsid w:val="00D53124"/>
    <w:rsid w:val="00D542C9"/>
    <w:rsid w:val="00D547F3"/>
    <w:rsid w:val="00D5549A"/>
    <w:rsid w:val="00D5582C"/>
    <w:rsid w:val="00D57BCD"/>
    <w:rsid w:val="00D60E0C"/>
    <w:rsid w:val="00D61A38"/>
    <w:rsid w:val="00D673D3"/>
    <w:rsid w:val="00D7191D"/>
    <w:rsid w:val="00D71DA8"/>
    <w:rsid w:val="00D772F1"/>
    <w:rsid w:val="00D8289F"/>
    <w:rsid w:val="00D8520E"/>
    <w:rsid w:val="00D86121"/>
    <w:rsid w:val="00D86DF9"/>
    <w:rsid w:val="00D90830"/>
    <w:rsid w:val="00D90E55"/>
    <w:rsid w:val="00D912A1"/>
    <w:rsid w:val="00D93F62"/>
    <w:rsid w:val="00D956D7"/>
    <w:rsid w:val="00D95B19"/>
    <w:rsid w:val="00D95E21"/>
    <w:rsid w:val="00D96C6B"/>
    <w:rsid w:val="00DA21ED"/>
    <w:rsid w:val="00DA2EAB"/>
    <w:rsid w:val="00DA53C0"/>
    <w:rsid w:val="00DB26F8"/>
    <w:rsid w:val="00DB5143"/>
    <w:rsid w:val="00DB5A7D"/>
    <w:rsid w:val="00DB6AC3"/>
    <w:rsid w:val="00DC0715"/>
    <w:rsid w:val="00DC10F0"/>
    <w:rsid w:val="00DC3DB4"/>
    <w:rsid w:val="00DC4835"/>
    <w:rsid w:val="00DD05DD"/>
    <w:rsid w:val="00DD1C8A"/>
    <w:rsid w:val="00DD3A3E"/>
    <w:rsid w:val="00DD3D40"/>
    <w:rsid w:val="00DD4778"/>
    <w:rsid w:val="00DD687D"/>
    <w:rsid w:val="00DE29C9"/>
    <w:rsid w:val="00DE368E"/>
    <w:rsid w:val="00DE4C63"/>
    <w:rsid w:val="00DF02DB"/>
    <w:rsid w:val="00DF2EFC"/>
    <w:rsid w:val="00DF4301"/>
    <w:rsid w:val="00DF5535"/>
    <w:rsid w:val="00E03C46"/>
    <w:rsid w:val="00E07717"/>
    <w:rsid w:val="00E077E2"/>
    <w:rsid w:val="00E10788"/>
    <w:rsid w:val="00E1363F"/>
    <w:rsid w:val="00E13ECA"/>
    <w:rsid w:val="00E15665"/>
    <w:rsid w:val="00E17E50"/>
    <w:rsid w:val="00E20EF0"/>
    <w:rsid w:val="00E2241B"/>
    <w:rsid w:val="00E2571B"/>
    <w:rsid w:val="00E30AC4"/>
    <w:rsid w:val="00E32CE9"/>
    <w:rsid w:val="00E3610C"/>
    <w:rsid w:val="00E36821"/>
    <w:rsid w:val="00E4196D"/>
    <w:rsid w:val="00E437AD"/>
    <w:rsid w:val="00E43EEC"/>
    <w:rsid w:val="00E50970"/>
    <w:rsid w:val="00E50B9F"/>
    <w:rsid w:val="00E51DF8"/>
    <w:rsid w:val="00E5546D"/>
    <w:rsid w:val="00E56E36"/>
    <w:rsid w:val="00E57059"/>
    <w:rsid w:val="00E60AE6"/>
    <w:rsid w:val="00E63396"/>
    <w:rsid w:val="00E645B5"/>
    <w:rsid w:val="00E67013"/>
    <w:rsid w:val="00E67984"/>
    <w:rsid w:val="00E73C3A"/>
    <w:rsid w:val="00E752A9"/>
    <w:rsid w:val="00E77535"/>
    <w:rsid w:val="00E808CE"/>
    <w:rsid w:val="00E80B1C"/>
    <w:rsid w:val="00E846C8"/>
    <w:rsid w:val="00E84DFD"/>
    <w:rsid w:val="00E864EB"/>
    <w:rsid w:val="00E87FAC"/>
    <w:rsid w:val="00E92D60"/>
    <w:rsid w:val="00E94909"/>
    <w:rsid w:val="00EA2CDF"/>
    <w:rsid w:val="00EA581C"/>
    <w:rsid w:val="00EB1301"/>
    <w:rsid w:val="00EB29FC"/>
    <w:rsid w:val="00EB3488"/>
    <w:rsid w:val="00EB3A71"/>
    <w:rsid w:val="00EB4BA5"/>
    <w:rsid w:val="00EB63DA"/>
    <w:rsid w:val="00EB7E7F"/>
    <w:rsid w:val="00EC0BF5"/>
    <w:rsid w:val="00EC27D1"/>
    <w:rsid w:val="00EC3549"/>
    <w:rsid w:val="00EC3F41"/>
    <w:rsid w:val="00EC5630"/>
    <w:rsid w:val="00EC743E"/>
    <w:rsid w:val="00EC790B"/>
    <w:rsid w:val="00ED04BC"/>
    <w:rsid w:val="00ED0724"/>
    <w:rsid w:val="00ED2CCD"/>
    <w:rsid w:val="00ED5621"/>
    <w:rsid w:val="00EE0550"/>
    <w:rsid w:val="00EE0F99"/>
    <w:rsid w:val="00EE4903"/>
    <w:rsid w:val="00EE6E18"/>
    <w:rsid w:val="00EE7EED"/>
    <w:rsid w:val="00EF1357"/>
    <w:rsid w:val="00EF19E6"/>
    <w:rsid w:val="00EF1D6C"/>
    <w:rsid w:val="00EF2A60"/>
    <w:rsid w:val="00EF4F4D"/>
    <w:rsid w:val="00EF5234"/>
    <w:rsid w:val="00F04B3F"/>
    <w:rsid w:val="00F0653B"/>
    <w:rsid w:val="00F06EFA"/>
    <w:rsid w:val="00F07997"/>
    <w:rsid w:val="00F11DC8"/>
    <w:rsid w:val="00F14568"/>
    <w:rsid w:val="00F15F46"/>
    <w:rsid w:val="00F1628C"/>
    <w:rsid w:val="00F165FB"/>
    <w:rsid w:val="00F20F52"/>
    <w:rsid w:val="00F243EC"/>
    <w:rsid w:val="00F2617C"/>
    <w:rsid w:val="00F26F98"/>
    <w:rsid w:val="00F31F79"/>
    <w:rsid w:val="00F32286"/>
    <w:rsid w:val="00F33224"/>
    <w:rsid w:val="00F3343E"/>
    <w:rsid w:val="00F361FE"/>
    <w:rsid w:val="00F37A1D"/>
    <w:rsid w:val="00F40A16"/>
    <w:rsid w:val="00F4376A"/>
    <w:rsid w:val="00F44027"/>
    <w:rsid w:val="00F451DE"/>
    <w:rsid w:val="00F460C6"/>
    <w:rsid w:val="00F46DE1"/>
    <w:rsid w:val="00F46DFE"/>
    <w:rsid w:val="00F502B0"/>
    <w:rsid w:val="00F523D7"/>
    <w:rsid w:val="00F528D7"/>
    <w:rsid w:val="00F52AF1"/>
    <w:rsid w:val="00F53551"/>
    <w:rsid w:val="00F53E37"/>
    <w:rsid w:val="00F55D1E"/>
    <w:rsid w:val="00F563DB"/>
    <w:rsid w:val="00F60A11"/>
    <w:rsid w:val="00F640D8"/>
    <w:rsid w:val="00F644EE"/>
    <w:rsid w:val="00F6596A"/>
    <w:rsid w:val="00F717FB"/>
    <w:rsid w:val="00F73A9D"/>
    <w:rsid w:val="00F73DD1"/>
    <w:rsid w:val="00F76CF0"/>
    <w:rsid w:val="00F80AA9"/>
    <w:rsid w:val="00F84ACC"/>
    <w:rsid w:val="00F850AC"/>
    <w:rsid w:val="00F86292"/>
    <w:rsid w:val="00F91AF9"/>
    <w:rsid w:val="00F93562"/>
    <w:rsid w:val="00F95646"/>
    <w:rsid w:val="00FA5E61"/>
    <w:rsid w:val="00FA6FE3"/>
    <w:rsid w:val="00FB3956"/>
    <w:rsid w:val="00FB4E50"/>
    <w:rsid w:val="00FB6AC6"/>
    <w:rsid w:val="00FC09E0"/>
    <w:rsid w:val="00FC3181"/>
    <w:rsid w:val="00FC674D"/>
    <w:rsid w:val="00FC6F9E"/>
    <w:rsid w:val="00FD25CF"/>
    <w:rsid w:val="00FD2A9A"/>
    <w:rsid w:val="00FD2D8F"/>
    <w:rsid w:val="00FD3279"/>
    <w:rsid w:val="00FD417E"/>
    <w:rsid w:val="00FD5F10"/>
    <w:rsid w:val="00FD7732"/>
    <w:rsid w:val="00FE1EA2"/>
    <w:rsid w:val="00FE3DE2"/>
    <w:rsid w:val="00FE74F5"/>
    <w:rsid w:val="00FE7775"/>
    <w:rsid w:val="00FE7881"/>
    <w:rsid w:val="00FE7960"/>
    <w:rsid w:val="00FF0535"/>
    <w:rsid w:val="01FF72B4"/>
    <w:rsid w:val="046C5F41"/>
    <w:rsid w:val="05E379E2"/>
    <w:rsid w:val="07AB4B90"/>
    <w:rsid w:val="08D62F84"/>
    <w:rsid w:val="0B0A4D42"/>
    <w:rsid w:val="0C0301AB"/>
    <w:rsid w:val="0C744820"/>
    <w:rsid w:val="0CBA06EE"/>
    <w:rsid w:val="0D9714C6"/>
    <w:rsid w:val="0D9F487C"/>
    <w:rsid w:val="0F344C39"/>
    <w:rsid w:val="10540B7B"/>
    <w:rsid w:val="10D44EFF"/>
    <w:rsid w:val="11E3438B"/>
    <w:rsid w:val="12583A5F"/>
    <w:rsid w:val="14077861"/>
    <w:rsid w:val="14524603"/>
    <w:rsid w:val="17FC7429"/>
    <w:rsid w:val="19736708"/>
    <w:rsid w:val="1A9E5CEB"/>
    <w:rsid w:val="1BDA5B0E"/>
    <w:rsid w:val="1BDE15E0"/>
    <w:rsid w:val="1C7131A5"/>
    <w:rsid w:val="1CC213E3"/>
    <w:rsid w:val="1DE45334"/>
    <w:rsid w:val="1FCE0E22"/>
    <w:rsid w:val="22406386"/>
    <w:rsid w:val="226B36C2"/>
    <w:rsid w:val="23D12DA5"/>
    <w:rsid w:val="258120F1"/>
    <w:rsid w:val="25825D03"/>
    <w:rsid w:val="25EB0895"/>
    <w:rsid w:val="26617A27"/>
    <w:rsid w:val="28330056"/>
    <w:rsid w:val="283646DD"/>
    <w:rsid w:val="28730CF6"/>
    <w:rsid w:val="29CE7063"/>
    <w:rsid w:val="2A41045E"/>
    <w:rsid w:val="2A574B54"/>
    <w:rsid w:val="2A7A0A6F"/>
    <w:rsid w:val="2ACB2DB9"/>
    <w:rsid w:val="2BE65632"/>
    <w:rsid w:val="2C341E20"/>
    <w:rsid w:val="2CF60506"/>
    <w:rsid w:val="2D9C3877"/>
    <w:rsid w:val="2DA87882"/>
    <w:rsid w:val="2E074E4A"/>
    <w:rsid w:val="2E231A13"/>
    <w:rsid w:val="2E4E60FC"/>
    <w:rsid w:val="2E6331DE"/>
    <w:rsid w:val="303145CB"/>
    <w:rsid w:val="304443FF"/>
    <w:rsid w:val="31C15C18"/>
    <w:rsid w:val="32160132"/>
    <w:rsid w:val="326554D0"/>
    <w:rsid w:val="332C0D43"/>
    <w:rsid w:val="33943AE8"/>
    <w:rsid w:val="34912734"/>
    <w:rsid w:val="34AC304C"/>
    <w:rsid w:val="36567F3B"/>
    <w:rsid w:val="365769CC"/>
    <w:rsid w:val="366A30BA"/>
    <w:rsid w:val="36BB31B1"/>
    <w:rsid w:val="381C0168"/>
    <w:rsid w:val="382709F0"/>
    <w:rsid w:val="39DF11E7"/>
    <w:rsid w:val="3A241F37"/>
    <w:rsid w:val="3A871435"/>
    <w:rsid w:val="3ADE26BB"/>
    <w:rsid w:val="3B564873"/>
    <w:rsid w:val="3BEB225A"/>
    <w:rsid w:val="3CE26E23"/>
    <w:rsid w:val="3D0F148C"/>
    <w:rsid w:val="3EBF0FF4"/>
    <w:rsid w:val="416E2354"/>
    <w:rsid w:val="418C7976"/>
    <w:rsid w:val="420D074B"/>
    <w:rsid w:val="42DD7C2C"/>
    <w:rsid w:val="431F5D8A"/>
    <w:rsid w:val="44FE13BE"/>
    <w:rsid w:val="456101D6"/>
    <w:rsid w:val="45D33385"/>
    <w:rsid w:val="46351667"/>
    <w:rsid w:val="46E6602D"/>
    <w:rsid w:val="46E76EB0"/>
    <w:rsid w:val="476D4127"/>
    <w:rsid w:val="4F8775DC"/>
    <w:rsid w:val="50405B2F"/>
    <w:rsid w:val="512B36F6"/>
    <w:rsid w:val="51B4189E"/>
    <w:rsid w:val="559F02EA"/>
    <w:rsid w:val="5662553A"/>
    <w:rsid w:val="56C443D2"/>
    <w:rsid w:val="56E97819"/>
    <w:rsid w:val="570B1687"/>
    <w:rsid w:val="572B36E8"/>
    <w:rsid w:val="57515F82"/>
    <w:rsid w:val="58F2420B"/>
    <w:rsid w:val="59E40D2B"/>
    <w:rsid w:val="5E0B0E4A"/>
    <w:rsid w:val="5ECA719D"/>
    <w:rsid w:val="5F222921"/>
    <w:rsid w:val="5F4A7BD1"/>
    <w:rsid w:val="61A51A21"/>
    <w:rsid w:val="626C023A"/>
    <w:rsid w:val="662F3055"/>
    <w:rsid w:val="66A220BF"/>
    <w:rsid w:val="66BF77D7"/>
    <w:rsid w:val="671E586A"/>
    <w:rsid w:val="68A51725"/>
    <w:rsid w:val="69CC20AA"/>
    <w:rsid w:val="6C971BD8"/>
    <w:rsid w:val="6CDD574C"/>
    <w:rsid w:val="6DF634C8"/>
    <w:rsid w:val="6E4E48C9"/>
    <w:rsid w:val="6E9218C8"/>
    <w:rsid w:val="6EDD6456"/>
    <w:rsid w:val="6FCD0AD7"/>
    <w:rsid w:val="6FE57642"/>
    <w:rsid w:val="6FFE0682"/>
    <w:rsid w:val="701D597C"/>
    <w:rsid w:val="7030715D"/>
    <w:rsid w:val="70CF5A2E"/>
    <w:rsid w:val="71AC6499"/>
    <w:rsid w:val="71C60627"/>
    <w:rsid w:val="72593B15"/>
    <w:rsid w:val="742021CB"/>
    <w:rsid w:val="74C26BD9"/>
    <w:rsid w:val="76007579"/>
    <w:rsid w:val="77123FD6"/>
    <w:rsid w:val="789D592F"/>
    <w:rsid w:val="78F27CDE"/>
    <w:rsid w:val="790023B7"/>
    <w:rsid w:val="794A3D81"/>
    <w:rsid w:val="7A2D718F"/>
    <w:rsid w:val="7C60624F"/>
    <w:rsid w:val="7DCC6810"/>
    <w:rsid w:val="7F1C25AD"/>
    <w:rsid w:val="7F9420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等线 Light" w:hAnsi="等线 Light" w:eastAsia="黑体"/>
      <w:sz w:val="20"/>
      <w:szCs w:val="20"/>
    </w:rPr>
  </w:style>
  <w:style w:type="paragraph" w:styleId="6">
    <w:name w:val="annotation text"/>
    <w:basedOn w:val="1"/>
    <w:link w:val="33"/>
    <w:semiHidden/>
    <w:qFormat/>
    <w:uiPriority w:val="99"/>
    <w:pPr>
      <w:jc w:val="left"/>
    </w:pPr>
  </w:style>
  <w:style w:type="paragraph" w:styleId="7">
    <w:name w:val="toc 3"/>
    <w:basedOn w:val="1"/>
    <w:next w:val="1"/>
    <w:unhideWhenUsed/>
    <w:qFormat/>
    <w:uiPriority w:val="39"/>
    <w:pPr>
      <w:ind w:left="840" w:leftChars="400"/>
    </w:pPr>
  </w:style>
  <w:style w:type="paragraph" w:styleId="8">
    <w:name w:val="Plain Text"/>
    <w:basedOn w:val="1"/>
    <w:link w:val="42"/>
    <w:qFormat/>
    <w:uiPriority w:val="0"/>
    <w:rPr>
      <w:rFonts w:ascii="宋体" w:hAnsi="Courier New" w:cs="Courier New"/>
      <w:szCs w:val="21"/>
    </w:rPr>
  </w:style>
  <w:style w:type="paragraph" w:styleId="9">
    <w:name w:val="Date"/>
    <w:basedOn w:val="1"/>
    <w:next w:val="1"/>
    <w:link w:val="26"/>
    <w:semiHidden/>
    <w:qFormat/>
    <w:uiPriority w:val="99"/>
    <w:pPr>
      <w:ind w:left="100" w:leftChars="2500"/>
    </w:pPr>
    <w:rPr>
      <w:rFonts w:ascii="Times New Roman" w:hAnsi="Times New Roman"/>
      <w:b/>
      <w:bCs/>
      <w:kern w:val="0"/>
      <w:sz w:val="24"/>
      <w:szCs w:val="24"/>
    </w:rPr>
  </w:style>
  <w:style w:type="paragraph" w:styleId="10">
    <w:name w:val="Balloon Text"/>
    <w:basedOn w:val="1"/>
    <w:link w:val="28"/>
    <w:semiHidden/>
    <w:unhideWhenUsed/>
    <w:qFormat/>
    <w:uiPriority w:val="99"/>
    <w:rPr>
      <w:sz w:val="18"/>
      <w:szCs w:val="18"/>
    </w:rPr>
  </w:style>
  <w:style w:type="paragraph" w:styleId="11">
    <w:name w:val="footer"/>
    <w:basedOn w:val="1"/>
    <w:link w:val="2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toc 1"/>
    <w:basedOn w:val="1"/>
    <w:next w:val="1"/>
    <w:unhideWhenUsed/>
    <w:qFormat/>
    <w:uiPriority w:val="39"/>
    <w:pPr>
      <w:tabs>
        <w:tab w:val="right" w:leader="dot" w:pos="8296"/>
      </w:tabs>
      <w:spacing w:line="360" w:lineRule="auto"/>
      <w:jc w:val="center"/>
    </w:pPr>
    <w:rPr>
      <w:rFonts w:ascii="Times New Roman" w:hAnsi="Times New Roman" w:eastAsiaTheme="minorEastAsia"/>
      <w:b/>
      <w:sz w:val="28"/>
      <w:szCs w:val="24"/>
    </w:r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6"/>
    <w:next w:val="6"/>
    <w:link w:val="34"/>
    <w:semiHidden/>
    <w:qFormat/>
    <w:uiPriority w:val="99"/>
    <w:rPr>
      <w:b/>
      <w:bCs/>
      <w:kern w:val="0"/>
      <w:sz w:val="20"/>
      <w:szCs w:val="20"/>
    </w:rPr>
  </w:style>
  <w:style w:type="table" w:styleId="18">
    <w:name w:val="Table Grid"/>
    <w:basedOn w:val="17"/>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22"/>
    <w:rPr>
      <w:b/>
    </w:rPr>
  </w:style>
  <w:style w:type="character" w:styleId="21">
    <w:name w:val="FollowedHyperlink"/>
    <w:basedOn w:val="19"/>
    <w:semiHidden/>
    <w:unhideWhenUsed/>
    <w:qFormat/>
    <w:uiPriority w:val="99"/>
    <w:rPr>
      <w:color w:val="014CCC"/>
      <w:u w:val="none"/>
    </w:rPr>
  </w:style>
  <w:style w:type="character" w:styleId="22">
    <w:name w:val="Hyperlink"/>
    <w:basedOn w:val="19"/>
    <w:unhideWhenUsed/>
    <w:qFormat/>
    <w:uiPriority w:val="99"/>
    <w:rPr>
      <w:color w:val="0000FF" w:themeColor="hyperlink"/>
      <w:u w:val="single"/>
      <w14:textFill>
        <w14:solidFill>
          <w14:schemeClr w14:val="hlink"/>
        </w14:solidFill>
      </w14:textFill>
    </w:rPr>
  </w:style>
  <w:style w:type="character" w:styleId="23">
    <w:name w:val="annotation reference"/>
    <w:semiHidden/>
    <w:qFormat/>
    <w:uiPriority w:val="99"/>
    <w:rPr>
      <w:rFonts w:cs="Times New Roman"/>
      <w:sz w:val="21"/>
      <w:szCs w:val="21"/>
    </w:rPr>
  </w:style>
  <w:style w:type="character" w:customStyle="1" w:styleId="24">
    <w:name w:val="页眉 字符"/>
    <w:basedOn w:val="19"/>
    <w:link w:val="12"/>
    <w:qFormat/>
    <w:uiPriority w:val="99"/>
    <w:rPr>
      <w:sz w:val="18"/>
      <w:szCs w:val="18"/>
    </w:rPr>
  </w:style>
  <w:style w:type="character" w:customStyle="1" w:styleId="25">
    <w:name w:val="页脚 字符"/>
    <w:basedOn w:val="19"/>
    <w:link w:val="11"/>
    <w:qFormat/>
    <w:uiPriority w:val="99"/>
    <w:rPr>
      <w:sz w:val="18"/>
      <w:szCs w:val="18"/>
    </w:rPr>
  </w:style>
  <w:style w:type="character" w:customStyle="1" w:styleId="26">
    <w:name w:val="日期 字符"/>
    <w:basedOn w:val="19"/>
    <w:link w:val="9"/>
    <w:semiHidden/>
    <w:qFormat/>
    <w:uiPriority w:val="99"/>
    <w:rPr>
      <w:rFonts w:ascii="Times New Roman" w:hAnsi="Times New Roman" w:eastAsia="宋体" w:cs="Times New Roman"/>
      <w:b/>
      <w:bCs/>
      <w:kern w:val="0"/>
      <w:sz w:val="24"/>
      <w:szCs w:val="24"/>
    </w:rPr>
  </w:style>
  <w:style w:type="paragraph" w:customStyle="1" w:styleId="27">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8">
    <w:name w:val="批注框文本 字符"/>
    <w:basedOn w:val="19"/>
    <w:link w:val="10"/>
    <w:semiHidden/>
    <w:qFormat/>
    <w:uiPriority w:val="99"/>
    <w:rPr>
      <w:rFonts w:ascii="Calibri" w:hAnsi="Calibri" w:eastAsia="宋体" w:cs="Times New Roman"/>
      <w:sz w:val="18"/>
      <w:szCs w:val="18"/>
    </w:rPr>
  </w:style>
  <w:style w:type="paragraph" w:customStyle="1" w:styleId="29">
    <w:name w:val="段"/>
    <w:link w:val="30"/>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0">
    <w:name w:val="段 Char"/>
    <w:link w:val="29"/>
    <w:qFormat/>
    <w:locked/>
    <w:uiPriority w:val="99"/>
    <w:rPr>
      <w:rFonts w:ascii="宋体" w:hAnsi="Times New Roman" w:eastAsia="宋体" w:cs="Times New Roman"/>
      <w:kern w:val="0"/>
      <w:szCs w:val="20"/>
    </w:rPr>
  </w:style>
  <w:style w:type="character" w:customStyle="1" w:styleId="31">
    <w:name w:val="highlight1"/>
    <w:qFormat/>
    <w:uiPriority w:val="0"/>
    <w:rPr>
      <w:sz w:val="21"/>
      <w:szCs w:val="21"/>
    </w:rPr>
  </w:style>
  <w:style w:type="paragraph" w:customStyle="1" w:styleId="32">
    <w:name w:val="Char Char Char Char Char Char Char"/>
    <w:basedOn w:val="1"/>
    <w:qFormat/>
    <w:uiPriority w:val="99"/>
    <w:pPr>
      <w:widowControl/>
      <w:spacing w:after="160" w:line="240" w:lineRule="exact"/>
      <w:jc w:val="left"/>
    </w:pPr>
    <w:rPr>
      <w:rFonts w:ascii="Arial" w:hAnsi="Arial" w:cs="Verdana"/>
      <w:b/>
      <w:kern w:val="0"/>
      <w:sz w:val="24"/>
      <w:szCs w:val="24"/>
      <w:lang w:eastAsia="en-US"/>
    </w:rPr>
  </w:style>
  <w:style w:type="character" w:customStyle="1" w:styleId="33">
    <w:name w:val="批注文字 字符"/>
    <w:basedOn w:val="19"/>
    <w:link w:val="6"/>
    <w:semiHidden/>
    <w:qFormat/>
    <w:uiPriority w:val="99"/>
    <w:rPr>
      <w:rFonts w:ascii="Calibri" w:hAnsi="Calibri" w:eastAsia="宋体" w:cs="Times New Roman"/>
    </w:rPr>
  </w:style>
  <w:style w:type="character" w:customStyle="1" w:styleId="34">
    <w:name w:val="批注主题 字符"/>
    <w:basedOn w:val="33"/>
    <w:link w:val="16"/>
    <w:semiHidden/>
    <w:qFormat/>
    <w:uiPriority w:val="99"/>
    <w:rPr>
      <w:rFonts w:ascii="Calibri" w:hAnsi="Calibri" w:eastAsia="宋体" w:cs="Times New Roman"/>
      <w:b/>
      <w:bCs/>
      <w:kern w:val="0"/>
      <w:sz w:val="20"/>
      <w:szCs w:val="20"/>
    </w:rPr>
  </w:style>
  <w:style w:type="paragraph" w:customStyle="1" w:styleId="35">
    <w:name w:val="一级条标题"/>
    <w:next w:val="29"/>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6">
    <w:name w:val="章标题"/>
    <w:next w:val="29"/>
    <w:link w:val="43"/>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37">
    <w:name w:val="二级条标题"/>
    <w:basedOn w:val="35"/>
    <w:next w:val="29"/>
    <w:link w:val="50"/>
    <w:qFormat/>
    <w:uiPriority w:val="0"/>
    <w:pPr>
      <w:numPr>
        <w:ilvl w:val="2"/>
      </w:numPr>
      <w:spacing w:before="50" w:after="50"/>
      <w:outlineLvl w:val="3"/>
    </w:pPr>
  </w:style>
  <w:style w:type="paragraph" w:customStyle="1" w:styleId="38">
    <w:name w:val="四级条标题"/>
    <w:basedOn w:val="1"/>
    <w:next w:val="29"/>
    <w:qFormat/>
    <w:uiPriority w:val="0"/>
    <w:pPr>
      <w:widowControl/>
      <w:numPr>
        <w:ilvl w:val="4"/>
        <w:numId w:val="1"/>
      </w:numPr>
      <w:spacing w:beforeLines="50" w:afterLines="50"/>
      <w:jc w:val="left"/>
      <w:outlineLvl w:val="5"/>
    </w:pPr>
    <w:rPr>
      <w:rFonts w:ascii="黑体" w:hAnsi="Times New Roman" w:eastAsia="黑体"/>
      <w:kern w:val="0"/>
      <w:szCs w:val="21"/>
    </w:rPr>
  </w:style>
  <w:style w:type="paragraph" w:customStyle="1" w:styleId="39">
    <w:name w:val="五级条标题"/>
    <w:basedOn w:val="38"/>
    <w:next w:val="29"/>
    <w:qFormat/>
    <w:uiPriority w:val="0"/>
    <w:pPr>
      <w:numPr>
        <w:ilvl w:val="5"/>
      </w:numPr>
      <w:outlineLvl w:val="6"/>
    </w:pPr>
  </w:style>
  <w:style w:type="paragraph" w:customStyle="1" w:styleId="4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1">
    <w:name w:val="三级条标题"/>
    <w:basedOn w:val="37"/>
    <w:next w:val="29"/>
    <w:qFormat/>
    <w:uiPriority w:val="0"/>
    <w:pPr>
      <w:numPr>
        <w:ilvl w:val="0"/>
        <w:numId w:val="0"/>
      </w:numPr>
      <w:spacing w:beforeLines="0" w:afterLines="0"/>
      <w:jc w:val="both"/>
      <w:outlineLvl w:val="4"/>
    </w:pPr>
    <w:rPr>
      <w:szCs w:val="20"/>
    </w:rPr>
  </w:style>
  <w:style w:type="character" w:customStyle="1" w:styleId="42">
    <w:name w:val="纯文本 字符"/>
    <w:basedOn w:val="19"/>
    <w:link w:val="8"/>
    <w:qFormat/>
    <w:uiPriority w:val="0"/>
    <w:rPr>
      <w:rFonts w:ascii="宋体" w:hAnsi="Courier New" w:eastAsia="宋体" w:cs="Courier New"/>
      <w:szCs w:val="21"/>
    </w:rPr>
  </w:style>
  <w:style w:type="character" w:customStyle="1" w:styleId="43">
    <w:name w:val="章标题 Char"/>
    <w:link w:val="36"/>
    <w:qFormat/>
    <w:uiPriority w:val="0"/>
    <w:rPr>
      <w:rFonts w:ascii="黑体" w:hAnsi="Times New Roman" w:eastAsia="黑体" w:cs="Times New Roman"/>
      <w:kern w:val="0"/>
      <w:szCs w:val="20"/>
    </w:rPr>
  </w:style>
  <w:style w:type="character" w:customStyle="1" w:styleId="44">
    <w:name w:val="标题 1 字符"/>
    <w:basedOn w:val="19"/>
    <w:link w:val="2"/>
    <w:qFormat/>
    <w:uiPriority w:val="9"/>
    <w:rPr>
      <w:rFonts w:ascii="Calibri" w:hAnsi="Calibri" w:eastAsia="宋体" w:cs="Times New Roman"/>
      <w:b/>
      <w:bCs/>
      <w:kern w:val="44"/>
      <w:sz w:val="44"/>
      <w:szCs w:val="44"/>
    </w:rPr>
  </w:style>
  <w:style w:type="character" w:customStyle="1" w:styleId="45">
    <w:name w:val="标题 2 字符"/>
    <w:basedOn w:val="19"/>
    <w:link w:val="3"/>
    <w:qFormat/>
    <w:uiPriority w:val="9"/>
    <w:rPr>
      <w:rFonts w:asciiTheme="majorHAnsi" w:hAnsiTheme="majorHAnsi" w:eastAsiaTheme="majorEastAsia" w:cstheme="majorBidi"/>
      <w:b/>
      <w:bCs/>
      <w:sz w:val="32"/>
      <w:szCs w:val="32"/>
    </w:rPr>
  </w:style>
  <w:style w:type="character" w:customStyle="1" w:styleId="46">
    <w:name w:val="标题 3 字符"/>
    <w:basedOn w:val="19"/>
    <w:link w:val="4"/>
    <w:qFormat/>
    <w:uiPriority w:val="9"/>
    <w:rPr>
      <w:rFonts w:ascii="Calibri" w:hAnsi="Calibri" w:eastAsia="宋体" w:cs="Times New Roman"/>
      <w:b/>
      <w:bCs/>
      <w:sz w:val="32"/>
      <w:szCs w:val="32"/>
    </w:rPr>
  </w:style>
  <w:style w:type="paragraph" w:styleId="47">
    <w:name w:val="List Paragraph"/>
    <w:basedOn w:val="1"/>
    <w:qFormat/>
    <w:uiPriority w:val="34"/>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9">
    <w:name w:val="目次、标准名称标题"/>
    <w:basedOn w:val="40"/>
    <w:next w:val="29"/>
    <w:qFormat/>
    <w:uiPriority w:val="99"/>
    <w:pPr>
      <w:spacing w:line="460" w:lineRule="exact"/>
    </w:pPr>
  </w:style>
  <w:style w:type="character" w:customStyle="1" w:styleId="50">
    <w:name w:val="二级条标题 Char"/>
    <w:link w:val="37"/>
    <w:qFormat/>
    <w:uiPriority w:val="0"/>
    <w:rPr>
      <w:rFonts w:ascii="黑体" w:hAnsi="Times New Roman" w:eastAsia="黑体" w:cs="Times New Roman"/>
      <w:sz w:val="21"/>
      <w:szCs w:val="21"/>
    </w:rPr>
  </w:style>
  <w:style w:type="paragraph" w:customStyle="1" w:styleId="51">
    <w:name w:val="msonormal"/>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2">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53">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Cs w:val="21"/>
    </w:rPr>
  </w:style>
  <w:style w:type="paragraph" w:customStyle="1" w:styleId="5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olor w:val="FF0000"/>
      <w:kern w:val="0"/>
      <w:szCs w:val="21"/>
    </w:rPr>
  </w:style>
  <w:style w:type="paragraph" w:customStyle="1" w:styleId="57">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FF0000"/>
      <w:kern w:val="0"/>
      <w:szCs w:val="21"/>
    </w:rPr>
  </w:style>
  <w:style w:type="paragraph" w:customStyle="1" w:styleId="5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5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6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table" w:customStyle="1" w:styleId="62">
    <w:name w:val="网格型1"/>
    <w:basedOn w:val="17"/>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正文公式编号制表符"/>
    <w:basedOn w:val="29"/>
    <w:next w:val="29"/>
    <w:qFormat/>
    <w:uiPriority w:val="0"/>
    <w:pPr>
      <w:ind w:firstLine="0" w:firstLineChars="0"/>
    </w:pPr>
  </w:style>
  <w:style w:type="character" w:styleId="64">
    <w:name w:val="Placeholder Text"/>
    <w:basedOn w:val="19"/>
    <w:unhideWhenUsed/>
    <w:qFormat/>
    <w:uiPriority w:val="99"/>
    <w:rPr>
      <w:color w:val="80808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2500D-259A-496A-901E-B9A658BD1AB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3647</Words>
  <Characters>3908</Characters>
  <Lines>86</Lines>
  <Paragraphs>24</Paragraphs>
  <TotalTime>28</TotalTime>
  <ScaleCrop>false</ScaleCrop>
  <LinksUpToDate>false</LinksUpToDate>
  <CharactersWithSpaces>3956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2023-06-16T03:56:00Z</dcterms:created>
  <dc:creator>gzb</dc:creator>
  <cp:lastModifiedBy>裴一朴</cp:lastModifiedBy>
  <cp:lastPrinted>2021-04-20T03:37:00Z</cp:lastPrinted>
  <dcterms:modified xsi:type="dcterms:W3CDTF">2026-01-22T07:53:41Z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eyJoZGlkIjoiNzIxMTJkMTEwNzZjNDE1ZmRiZDYzNDg0ZjllYjdkMGEiLCJ1c2VySWQiOiI1Nzg3NTMxNDkifQ==</vt:lpwstr>
  </property>
  <property fmtid="{D5CDD505-2E9C-101B-9397-08002B2CF9AE}" pid="4" name="ICV">
    <vt:lpwstr>EAECE66774FB4B6FB7775273BB89E0BC_13</vt:lpwstr>
  </property>
</Properties>
</file>